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99CF" w14:textId="77777777" w:rsidR="009F5BD3" w:rsidRPr="007A52CB" w:rsidRDefault="009F5BD3" w:rsidP="009F5BD3">
      <w:pPr>
        <w:widowControl w:val="0"/>
        <w:pBdr>
          <w:top w:val="nil"/>
          <w:left w:val="nil"/>
          <w:bottom w:val="nil"/>
          <w:right w:val="nil"/>
          <w:between w:val="nil"/>
        </w:pBdr>
        <w:spacing w:after="0"/>
        <w:jc w:val="right"/>
      </w:pPr>
      <w:r w:rsidRPr="007A52CB">
        <w:rPr>
          <w:noProof/>
        </w:rPr>
        <w:drawing>
          <wp:inline distT="0" distB="0" distL="0" distR="0" wp14:anchorId="10068C25" wp14:editId="663B2E52">
            <wp:extent cx="2523506" cy="723900"/>
            <wp:effectExtent l="0" t="0" r="0" b="0"/>
            <wp:docPr id="30" name="Picture 30" descr="DS Mong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Mongolia"/>
                    <pic:cNvPicPr>
                      <a:picLocks noChangeAspect="1" noChangeArrowheads="1"/>
                    </pic:cNvPicPr>
                  </pic:nvPicPr>
                  <pic:blipFill rotWithShape="1">
                    <a:blip r:embed="rId6">
                      <a:extLst>
                        <a:ext uri="{28A0092B-C50C-407E-A947-70E740481C1C}">
                          <a14:useLocalDpi xmlns:a14="http://schemas.microsoft.com/office/drawing/2010/main" val="0"/>
                        </a:ext>
                      </a:extLst>
                    </a:blip>
                    <a:srcRect l="1" t="12951" r="50481" b="23759"/>
                    <a:stretch/>
                  </pic:blipFill>
                  <pic:spPr bwMode="auto">
                    <a:xfrm>
                      <a:off x="0" y="0"/>
                      <a:ext cx="2528728" cy="725398"/>
                    </a:xfrm>
                    <a:prstGeom prst="rect">
                      <a:avLst/>
                    </a:prstGeom>
                    <a:noFill/>
                    <a:ln>
                      <a:noFill/>
                    </a:ln>
                    <a:extLst>
                      <a:ext uri="{53640926-AAD7-44D8-BBD7-CCE9431645EC}">
                        <a14:shadowObscured xmlns:a14="http://schemas.microsoft.com/office/drawing/2010/main"/>
                      </a:ext>
                    </a:extLst>
                  </pic:spPr>
                </pic:pic>
              </a:graphicData>
            </a:graphic>
          </wp:inline>
        </w:drawing>
      </w:r>
      <w:r w:rsidRPr="007A52CB">
        <w:rPr>
          <w:noProof/>
        </w:rPr>
        <w:drawing>
          <wp:anchor distT="57150" distB="57150" distL="57150" distR="57150" simplePos="0" relativeHeight="251657216" behindDoc="0" locked="0" layoutInCell="1" hidden="0" allowOverlap="1" wp14:anchorId="076CF98D" wp14:editId="7AAE5010">
            <wp:simplePos x="0" y="0"/>
            <wp:positionH relativeFrom="column">
              <wp:posOffset>790575</wp:posOffset>
            </wp:positionH>
            <wp:positionV relativeFrom="paragraph">
              <wp:posOffset>8890</wp:posOffset>
            </wp:positionV>
            <wp:extent cx="1745550" cy="790575"/>
            <wp:effectExtent l="0" t="0" r="7620" b="0"/>
            <wp:wrapNone/>
            <wp:docPr id="474" name="image31.jpg" descr="ERI logo"/>
            <wp:cNvGraphicFramePr/>
            <a:graphic xmlns:a="http://schemas.openxmlformats.org/drawingml/2006/main">
              <a:graphicData uri="http://schemas.openxmlformats.org/drawingml/2006/picture">
                <pic:pic xmlns:pic="http://schemas.openxmlformats.org/drawingml/2006/picture">
                  <pic:nvPicPr>
                    <pic:cNvPr id="0" name="image31.jpg" descr="ERI logo"/>
                    <pic:cNvPicPr preferRelativeResize="0"/>
                  </pic:nvPicPr>
                  <pic:blipFill>
                    <a:blip r:embed="rId7"/>
                    <a:srcRect/>
                    <a:stretch>
                      <a:fillRect/>
                    </a:stretch>
                  </pic:blipFill>
                  <pic:spPr>
                    <a:xfrm>
                      <a:off x="0" y="0"/>
                      <a:ext cx="1745550" cy="790575"/>
                    </a:xfrm>
                    <a:prstGeom prst="rect">
                      <a:avLst/>
                    </a:prstGeom>
                    <a:ln/>
                  </pic:spPr>
                </pic:pic>
              </a:graphicData>
            </a:graphic>
            <wp14:sizeRelH relativeFrom="margin">
              <wp14:pctWidth>0</wp14:pctWidth>
            </wp14:sizeRelH>
            <wp14:sizeRelV relativeFrom="margin">
              <wp14:pctHeight>0</wp14:pctHeight>
            </wp14:sizeRelV>
          </wp:anchor>
        </w:drawing>
      </w:r>
    </w:p>
    <w:p w14:paraId="50A77CBB" w14:textId="77777777" w:rsidR="009F5BD3" w:rsidRPr="007A52CB" w:rsidRDefault="009F5BD3" w:rsidP="009F5BD3">
      <w:pPr>
        <w:spacing w:line="288" w:lineRule="auto"/>
        <w:jc w:val="center"/>
        <w:rPr>
          <w:rFonts w:eastAsia="Times New Roman" w:cs="Times New Roman"/>
          <w:b/>
          <w:sz w:val="24"/>
          <w:szCs w:val="24"/>
        </w:rPr>
      </w:pPr>
    </w:p>
    <w:p w14:paraId="4468E64E" w14:textId="77777777" w:rsidR="009F5BD3" w:rsidRPr="007A52CB" w:rsidRDefault="009F5BD3" w:rsidP="009F5BD3">
      <w:pPr>
        <w:spacing w:line="288" w:lineRule="auto"/>
        <w:jc w:val="center"/>
        <w:rPr>
          <w:rFonts w:eastAsia="Times New Roman" w:cs="Times New Roman"/>
          <w:b/>
          <w:sz w:val="24"/>
          <w:szCs w:val="24"/>
        </w:rPr>
      </w:pPr>
    </w:p>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72"/>
        <w:gridCol w:w="4111"/>
      </w:tblGrid>
      <w:tr w:rsidR="009F5BD3" w:rsidRPr="007A52CB" w14:paraId="210E8F24" w14:textId="77777777" w:rsidTr="00865DA8">
        <w:tc>
          <w:tcPr>
            <w:tcW w:w="4962" w:type="dxa"/>
          </w:tcPr>
          <w:p w14:paraId="0758060C" w14:textId="77777777" w:rsidR="009F5BD3" w:rsidRPr="007A52CB" w:rsidRDefault="009F5BD3" w:rsidP="00865DA8">
            <w:pPr>
              <w:spacing w:line="288" w:lineRule="auto"/>
              <w:jc w:val="center"/>
              <w:rPr>
                <w:rFonts w:eastAsia="Times New Roman" w:cs="Times New Roman"/>
                <w:b/>
                <w:sz w:val="24"/>
                <w:szCs w:val="24"/>
                <w:lang w:val="mn-MN"/>
              </w:rPr>
            </w:pPr>
            <w:r w:rsidRPr="007A52CB">
              <w:rPr>
                <w:rFonts w:eastAsia="Times New Roman" w:cs="Times New Roman"/>
                <w:b/>
                <w:sz w:val="24"/>
                <w:szCs w:val="24"/>
                <w:lang w:val="mn-MN"/>
              </w:rPr>
              <w:t xml:space="preserve">ЭДИЙН ЗАСГИЙН СУДАЛГАА, </w:t>
            </w:r>
          </w:p>
          <w:p w14:paraId="56ECA751" w14:textId="77777777" w:rsidR="009F5BD3" w:rsidRPr="007A52CB" w:rsidRDefault="009F5BD3" w:rsidP="00865DA8">
            <w:pPr>
              <w:spacing w:line="288" w:lineRule="auto"/>
              <w:jc w:val="center"/>
              <w:rPr>
                <w:rFonts w:eastAsia="Times New Roman" w:cs="Times New Roman"/>
                <w:b/>
                <w:sz w:val="24"/>
                <w:szCs w:val="24"/>
                <w:lang w:val="mn-MN"/>
              </w:rPr>
            </w:pPr>
            <w:r w:rsidRPr="007A52CB">
              <w:rPr>
                <w:rFonts w:eastAsia="Times New Roman" w:cs="Times New Roman"/>
                <w:b/>
                <w:sz w:val="24"/>
                <w:szCs w:val="24"/>
                <w:lang w:val="mn-MN"/>
              </w:rPr>
              <w:t>ЭРДЭМ ШИНЖИЛГЭЭНИЙ ХҮРЭЭЛЭН</w:t>
            </w:r>
          </w:p>
        </w:tc>
        <w:tc>
          <w:tcPr>
            <w:tcW w:w="572" w:type="dxa"/>
          </w:tcPr>
          <w:p w14:paraId="4FDBA7AA" w14:textId="77777777" w:rsidR="009F5BD3" w:rsidRPr="007A52CB" w:rsidRDefault="009F5BD3" w:rsidP="00865DA8">
            <w:pPr>
              <w:spacing w:line="288" w:lineRule="auto"/>
              <w:jc w:val="center"/>
              <w:rPr>
                <w:rFonts w:eastAsia="Times New Roman" w:cs="Times New Roman"/>
                <w:b/>
                <w:sz w:val="24"/>
                <w:szCs w:val="24"/>
                <w:lang w:val="mn-MN"/>
              </w:rPr>
            </w:pPr>
          </w:p>
        </w:tc>
        <w:tc>
          <w:tcPr>
            <w:tcW w:w="4111" w:type="dxa"/>
          </w:tcPr>
          <w:p w14:paraId="38BC0B69" w14:textId="77777777" w:rsidR="009F5BD3" w:rsidRPr="007A52CB" w:rsidRDefault="009F5BD3" w:rsidP="00865DA8">
            <w:pPr>
              <w:spacing w:line="288" w:lineRule="auto"/>
              <w:jc w:val="center"/>
              <w:rPr>
                <w:rFonts w:eastAsia="Times New Roman" w:cs="Times New Roman"/>
                <w:b/>
                <w:sz w:val="24"/>
                <w:szCs w:val="24"/>
                <w:lang w:val="mn-MN"/>
              </w:rPr>
            </w:pPr>
            <w:r w:rsidRPr="007A52CB">
              <w:rPr>
                <w:rFonts w:eastAsia="Times New Roman" w:cs="Times New Roman"/>
                <w:b/>
                <w:sz w:val="24"/>
                <w:szCs w:val="24"/>
                <w:lang w:val="mn-MN"/>
              </w:rPr>
              <w:t xml:space="preserve">ХӨГЖЛИЙН ШИЙДЭЛ ТББ </w:t>
            </w:r>
          </w:p>
        </w:tc>
      </w:tr>
    </w:tbl>
    <w:p w14:paraId="4696234E" w14:textId="77777777" w:rsidR="009F5BD3" w:rsidRPr="007A52CB" w:rsidRDefault="009F5BD3" w:rsidP="009F5BD3">
      <w:pPr>
        <w:spacing w:line="288" w:lineRule="auto"/>
        <w:jc w:val="center"/>
        <w:rPr>
          <w:rFonts w:eastAsia="Times New Roman" w:cs="Times New Roman"/>
          <w:b/>
          <w:sz w:val="24"/>
          <w:szCs w:val="24"/>
        </w:rPr>
      </w:pPr>
    </w:p>
    <w:p w14:paraId="08D54F44" w14:textId="77777777" w:rsidR="009F5BD3" w:rsidRPr="007A52CB" w:rsidRDefault="009F5BD3" w:rsidP="009F5BD3">
      <w:pPr>
        <w:pStyle w:val="NoSpacing"/>
        <w:rPr>
          <w:rFonts w:cs="Times New Roman"/>
          <w:i/>
          <w:iCs/>
        </w:rPr>
      </w:pPr>
    </w:p>
    <w:p w14:paraId="7A4E94B4" w14:textId="77777777" w:rsidR="009F5BD3" w:rsidRPr="007A52CB" w:rsidRDefault="009F5BD3" w:rsidP="009F5BD3">
      <w:pPr>
        <w:pStyle w:val="NoSpacing"/>
        <w:rPr>
          <w:rFonts w:cs="Times New Roman"/>
          <w:i/>
          <w:iCs/>
        </w:rPr>
      </w:pPr>
    </w:p>
    <w:p w14:paraId="33ABB5A7" w14:textId="77777777" w:rsidR="009F5BD3" w:rsidRPr="007A52CB" w:rsidRDefault="009F5BD3" w:rsidP="009F5BD3">
      <w:pPr>
        <w:pStyle w:val="NoSpacing"/>
        <w:rPr>
          <w:rFonts w:cs="Times New Roman"/>
          <w:i/>
          <w:iCs/>
        </w:rPr>
      </w:pPr>
    </w:p>
    <w:p w14:paraId="5D648FAC" w14:textId="77777777" w:rsidR="009F5BD3" w:rsidRPr="007A52CB" w:rsidRDefault="009F5BD3" w:rsidP="009F5BD3">
      <w:pPr>
        <w:pStyle w:val="NoSpacing"/>
        <w:rPr>
          <w:rFonts w:cs="Times New Roman"/>
          <w:i/>
          <w:iCs/>
        </w:rPr>
      </w:pPr>
    </w:p>
    <w:p w14:paraId="75E8A8AD" w14:textId="77777777" w:rsidR="009F5BD3" w:rsidRPr="007A52CB" w:rsidRDefault="009F5BD3" w:rsidP="009F5BD3">
      <w:pPr>
        <w:pStyle w:val="NoSpacing"/>
        <w:rPr>
          <w:rFonts w:cs="Times New Roman"/>
          <w:i/>
          <w:iCs/>
        </w:rPr>
      </w:pPr>
    </w:p>
    <w:p w14:paraId="799BE3F7" w14:textId="77777777" w:rsidR="009F5BD3" w:rsidRPr="007A52CB" w:rsidRDefault="009F5BD3" w:rsidP="009F5BD3">
      <w:pPr>
        <w:pStyle w:val="Title"/>
        <w:jc w:val="center"/>
        <w:rPr>
          <w:b/>
          <w:bCs/>
          <w:sz w:val="36"/>
          <w:szCs w:val="36"/>
          <w:lang w:val="mn-MN"/>
        </w:rPr>
      </w:pPr>
      <w:r w:rsidRPr="007A52CB">
        <w:rPr>
          <w:b/>
          <w:bCs/>
          <w:sz w:val="36"/>
          <w:szCs w:val="36"/>
          <w:lang w:val="mn-MN"/>
        </w:rPr>
        <w:t xml:space="preserve">ЭДИЙН ЗАСГИЙГ ЭРЧИМЖҮҮЛЭХ </w:t>
      </w:r>
    </w:p>
    <w:p w14:paraId="6C8562F4" w14:textId="77777777" w:rsidR="009F5BD3" w:rsidRPr="007A52CB" w:rsidRDefault="009F5BD3" w:rsidP="009F5BD3">
      <w:pPr>
        <w:pStyle w:val="Title"/>
        <w:jc w:val="center"/>
        <w:rPr>
          <w:b/>
          <w:bCs/>
          <w:sz w:val="36"/>
          <w:szCs w:val="36"/>
          <w:lang w:val="mn-MN"/>
        </w:rPr>
      </w:pPr>
      <w:r w:rsidRPr="007A52CB">
        <w:rPr>
          <w:b/>
          <w:bCs/>
          <w:sz w:val="36"/>
          <w:szCs w:val="36"/>
          <w:lang w:val="mn-MN"/>
        </w:rPr>
        <w:t xml:space="preserve">10 ИХ НАЯДЫН БОДЛОГЫН </w:t>
      </w:r>
    </w:p>
    <w:p w14:paraId="54321DF4" w14:textId="77777777" w:rsidR="009F5BD3" w:rsidRPr="007A52CB" w:rsidRDefault="009F5BD3" w:rsidP="009F5BD3">
      <w:pPr>
        <w:pStyle w:val="Title"/>
        <w:jc w:val="center"/>
        <w:rPr>
          <w:b/>
          <w:bCs/>
          <w:sz w:val="36"/>
          <w:szCs w:val="36"/>
          <w:lang w:val="mn-MN"/>
        </w:rPr>
      </w:pPr>
      <w:r w:rsidRPr="007A52CB">
        <w:rPr>
          <w:b/>
          <w:bCs/>
          <w:sz w:val="36"/>
          <w:szCs w:val="36"/>
          <w:lang w:val="mn-MN"/>
        </w:rPr>
        <w:t xml:space="preserve">ХУВИЙН СЕКТОРТ ҮЗҮҮЛСЭН </w:t>
      </w:r>
    </w:p>
    <w:p w14:paraId="21B40876" w14:textId="77777777" w:rsidR="009F5BD3" w:rsidRPr="007A52CB" w:rsidRDefault="009F5BD3" w:rsidP="009F5BD3">
      <w:pPr>
        <w:pStyle w:val="Title"/>
        <w:jc w:val="center"/>
        <w:rPr>
          <w:b/>
          <w:bCs/>
          <w:sz w:val="36"/>
          <w:szCs w:val="36"/>
          <w:lang w:val="mn-MN"/>
        </w:rPr>
      </w:pPr>
      <w:r w:rsidRPr="007A52CB">
        <w:rPr>
          <w:b/>
          <w:bCs/>
          <w:sz w:val="36"/>
          <w:szCs w:val="36"/>
          <w:lang w:val="mn-MN"/>
        </w:rPr>
        <w:t>ҮР НӨЛӨӨ БА ХЭРЭГЖИЛТИЙН СУРГАМЖ</w:t>
      </w:r>
    </w:p>
    <w:p w14:paraId="12B56326" w14:textId="77777777" w:rsidR="009F5BD3" w:rsidRPr="007A52CB" w:rsidRDefault="009F5BD3" w:rsidP="009F5BD3">
      <w:pPr>
        <w:pStyle w:val="NoSpacing"/>
        <w:jc w:val="center"/>
        <w:rPr>
          <w:rFonts w:cs="Times New Roman"/>
          <w:b/>
          <w:bCs/>
          <w:i/>
          <w:iCs/>
          <w:sz w:val="36"/>
          <w:szCs w:val="36"/>
        </w:rPr>
      </w:pPr>
    </w:p>
    <w:p w14:paraId="53A958D5" w14:textId="77777777" w:rsidR="009F5BD3" w:rsidRPr="007A52CB" w:rsidRDefault="009F5BD3" w:rsidP="009F5BD3">
      <w:pPr>
        <w:pStyle w:val="NoSpacing"/>
        <w:jc w:val="center"/>
        <w:rPr>
          <w:rFonts w:cs="Times New Roman"/>
          <w:b/>
          <w:bCs/>
          <w:sz w:val="28"/>
          <w:szCs w:val="28"/>
        </w:rPr>
      </w:pPr>
    </w:p>
    <w:p w14:paraId="22C1CDC7" w14:textId="2178AB96" w:rsidR="009F5BD3" w:rsidRPr="007A52CB" w:rsidRDefault="009F5BD3" w:rsidP="009F5BD3">
      <w:pPr>
        <w:pStyle w:val="NoSpacing"/>
        <w:jc w:val="center"/>
        <w:rPr>
          <w:rFonts w:cs="Times New Roman"/>
          <w:i/>
          <w:iCs/>
          <w:sz w:val="24"/>
          <w:szCs w:val="26"/>
        </w:rPr>
      </w:pPr>
      <w:r w:rsidRPr="007A52CB">
        <w:rPr>
          <w:rFonts w:cs="Times New Roman"/>
          <w:b/>
          <w:bCs/>
          <w:sz w:val="32"/>
          <w:szCs w:val="32"/>
        </w:rPr>
        <w:t>Хэлэлцүүлгийн тайлан</w:t>
      </w:r>
    </w:p>
    <w:p w14:paraId="00002270" w14:textId="77777777" w:rsidR="009F5BD3" w:rsidRPr="007A52CB" w:rsidRDefault="009F5BD3" w:rsidP="009F5BD3">
      <w:pPr>
        <w:pStyle w:val="NoSpacing"/>
        <w:rPr>
          <w:rFonts w:cs="Times New Roman"/>
          <w:i/>
          <w:iCs/>
        </w:rPr>
      </w:pPr>
    </w:p>
    <w:p w14:paraId="2035DFAE" w14:textId="77777777" w:rsidR="009F5BD3" w:rsidRPr="007A52CB" w:rsidRDefault="009F5BD3" w:rsidP="009F5BD3">
      <w:pPr>
        <w:pStyle w:val="NoSpacing"/>
        <w:rPr>
          <w:rFonts w:cs="Times New Roman"/>
          <w:i/>
          <w:iCs/>
        </w:rPr>
      </w:pPr>
    </w:p>
    <w:p w14:paraId="4DD2EA82" w14:textId="77777777" w:rsidR="009F5BD3" w:rsidRPr="007A52CB" w:rsidRDefault="009F5BD3" w:rsidP="009F5BD3">
      <w:pPr>
        <w:pStyle w:val="NoSpacing"/>
        <w:rPr>
          <w:rFonts w:cs="Times New Roman"/>
          <w:i/>
          <w:iCs/>
        </w:rPr>
      </w:pPr>
    </w:p>
    <w:p w14:paraId="2F7B4BC1" w14:textId="77777777" w:rsidR="009F5BD3" w:rsidRPr="007A52CB" w:rsidRDefault="009F5BD3" w:rsidP="009F5BD3">
      <w:pPr>
        <w:pStyle w:val="NoSpacing"/>
        <w:rPr>
          <w:rFonts w:cs="Times New Roman"/>
          <w:i/>
          <w:iCs/>
        </w:rPr>
      </w:pPr>
    </w:p>
    <w:p w14:paraId="2815EC61" w14:textId="77777777" w:rsidR="009F5BD3" w:rsidRPr="007A52CB" w:rsidRDefault="009F5BD3" w:rsidP="009F5BD3">
      <w:pPr>
        <w:pStyle w:val="NoSpacing"/>
        <w:rPr>
          <w:rFonts w:cs="Times New Roman"/>
          <w:i/>
          <w:iCs/>
        </w:rPr>
      </w:pPr>
    </w:p>
    <w:p w14:paraId="6C1A00BB" w14:textId="77777777" w:rsidR="009F5BD3" w:rsidRPr="007A52CB" w:rsidRDefault="009F5BD3" w:rsidP="009F5BD3">
      <w:pPr>
        <w:pStyle w:val="NoSpacing"/>
        <w:rPr>
          <w:rFonts w:cs="Times New Roman"/>
          <w:i/>
          <w:iCs/>
        </w:rPr>
      </w:pPr>
    </w:p>
    <w:p w14:paraId="3C9AE851" w14:textId="77777777" w:rsidR="009F5BD3" w:rsidRPr="007A52CB" w:rsidRDefault="009F5BD3" w:rsidP="009F5BD3">
      <w:pPr>
        <w:pStyle w:val="NoSpacing"/>
        <w:rPr>
          <w:rFonts w:cs="Times New Roman"/>
          <w:i/>
          <w:iCs/>
        </w:rPr>
      </w:pPr>
    </w:p>
    <w:p w14:paraId="1DCF31F0" w14:textId="77777777" w:rsidR="009F5BD3" w:rsidRPr="007A52CB" w:rsidRDefault="009F5BD3" w:rsidP="009F5BD3">
      <w:pPr>
        <w:pStyle w:val="NoSpacing"/>
        <w:rPr>
          <w:rFonts w:cs="Times New Roman"/>
          <w:i/>
          <w:iCs/>
        </w:rPr>
      </w:pPr>
    </w:p>
    <w:p w14:paraId="30BB74BE" w14:textId="77777777" w:rsidR="009F5BD3" w:rsidRPr="007A52CB" w:rsidRDefault="009F5BD3" w:rsidP="009F5BD3">
      <w:pPr>
        <w:pStyle w:val="NoSpacing"/>
        <w:rPr>
          <w:rFonts w:cs="Times New Roman"/>
          <w:i/>
          <w:iCs/>
        </w:rPr>
      </w:pPr>
    </w:p>
    <w:p w14:paraId="227A6B7A" w14:textId="77777777" w:rsidR="009F5BD3" w:rsidRPr="007A52CB" w:rsidRDefault="009F5BD3" w:rsidP="009F5BD3">
      <w:pPr>
        <w:pStyle w:val="NoSpacing"/>
        <w:rPr>
          <w:rFonts w:cs="Times New Roman"/>
          <w:i/>
          <w:iCs/>
        </w:rPr>
      </w:pPr>
    </w:p>
    <w:p w14:paraId="4D79E19D" w14:textId="77777777" w:rsidR="009F5BD3" w:rsidRPr="007A52CB" w:rsidRDefault="009F5BD3" w:rsidP="009F5BD3">
      <w:pPr>
        <w:pStyle w:val="NoSpacing"/>
        <w:rPr>
          <w:rFonts w:cs="Times New Roman"/>
          <w:i/>
          <w:iCs/>
        </w:rPr>
      </w:pPr>
    </w:p>
    <w:p w14:paraId="57D12A03" w14:textId="77777777" w:rsidR="009F5BD3" w:rsidRPr="007A52CB" w:rsidRDefault="009F5BD3" w:rsidP="009F5BD3">
      <w:pPr>
        <w:pStyle w:val="NoSpacing"/>
        <w:rPr>
          <w:rFonts w:cs="Times New Roman"/>
          <w:i/>
          <w:iCs/>
        </w:rPr>
      </w:pPr>
    </w:p>
    <w:p w14:paraId="0E459719" w14:textId="77777777" w:rsidR="009F5BD3" w:rsidRPr="007A52CB" w:rsidRDefault="009F5BD3" w:rsidP="009F5BD3">
      <w:pPr>
        <w:pStyle w:val="NoSpacing"/>
        <w:rPr>
          <w:rFonts w:cs="Times New Roman"/>
          <w:i/>
          <w:iCs/>
          <w:sz w:val="24"/>
          <w:szCs w:val="24"/>
        </w:rPr>
      </w:pPr>
    </w:p>
    <w:p w14:paraId="1EC2640A" w14:textId="77777777" w:rsidR="009F5BD3" w:rsidRPr="007A52CB" w:rsidRDefault="009F5BD3" w:rsidP="009F5BD3">
      <w:pPr>
        <w:pStyle w:val="NoSpacing"/>
        <w:jc w:val="center"/>
        <w:rPr>
          <w:rFonts w:cs="Times New Roman"/>
          <w:b/>
          <w:bCs/>
          <w:sz w:val="24"/>
          <w:szCs w:val="24"/>
        </w:rPr>
      </w:pPr>
      <w:r w:rsidRPr="007A52CB">
        <w:rPr>
          <w:rFonts w:cs="Times New Roman"/>
          <w:b/>
          <w:bCs/>
          <w:sz w:val="24"/>
          <w:szCs w:val="24"/>
        </w:rPr>
        <w:t>УЛААНБААТАР ХОТ</w:t>
      </w:r>
    </w:p>
    <w:p w14:paraId="228491D3" w14:textId="77777777" w:rsidR="009F5BD3" w:rsidRPr="007A52CB" w:rsidRDefault="009F5BD3" w:rsidP="009F5BD3">
      <w:pPr>
        <w:pStyle w:val="NoSpacing"/>
        <w:jc w:val="center"/>
        <w:rPr>
          <w:rFonts w:cs="Times New Roman"/>
          <w:b/>
          <w:bCs/>
          <w:sz w:val="24"/>
          <w:szCs w:val="24"/>
        </w:rPr>
      </w:pPr>
      <w:r w:rsidRPr="007A52CB">
        <w:rPr>
          <w:rFonts w:cs="Times New Roman"/>
          <w:b/>
          <w:bCs/>
          <w:sz w:val="24"/>
          <w:szCs w:val="24"/>
        </w:rPr>
        <w:t>2022 ОН</w:t>
      </w:r>
    </w:p>
    <w:p w14:paraId="52DB1C59" w14:textId="77777777" w:rsidR="009F5BD3" w:rsidRPr="007A52CB" w:rsidRDefault="009F5BD3" w:rsidP="009F5BD3">
      <w:pPr>
        <w:pStyle w:val="NoSpacing"/>
        <w:jc w:val="center"/>
        <w:rPr>
          <w:rFonts w:cs="Times New Roman"/>
          <w:b/>
          <w:bCs/>
          <w:i/>
          <w:iCs/>
        </w:rPr>
      </w:pPr>
    </w:p>
    <w:p w14:paraId="73C9163C" w14:textId="0B7266E0" w:rsidR="009F5BD3" w:rsidRPr="007A52CB" w:rsidRDefault="009F5BD3" w:rsidP="00015C35">
      <w:pPr>
        <w:spacing w:after="0"/>
      </w:pPr>
      <w:r w:rsidRPr="007A52CB">
        <w:br w:type="page"/>
      </w:r>
    </w:p>
    <w:sdt>
      <w:sdtPr>
        <w:rPr>
          <w:rFonts w:asciiTheme="minorHAnsi" w:eastAsiaTheme="minorHAnsi" w:hAnsiTheme="minorHAnsi" w:cstheme="minorBidi"/>
          <w:sz w:val="22"/>
          <w:szCs w:val="22"/>
          <w:lang w:val="mn-MN"/>
        </w:rPr>
        <w:id w:val="-1308778381"/>
        <w:docPartObj>
          <w:docPartGallery w:val="Table of Contents"/>
          <w:docPartUnique/>
        </w:docPartObj>
      </w:sdtPr>
      <w:sdtEndPr>
        <w:rPr>
          <w:rFonts w:ascii="Times New Roman" w:hAnsi="Times New Roman"/>
          <w:b/>
          <w:bCs/>
          <w:noProof/>
        </w:rPr>
      </w:sdtEndPr>
      <w:sdtContent>
        <w:p w14:paraId="0466FAA8" w14:textId="4C3B3F50" w:rsidR="009F5BD3" w:rsidRPr="007A52CB" w:rsidRDefault="008D4D3C">
          <w:pPr>
            <w:pStyle w:val="TOCHeading"/>
            <w:rPr>
              <w:lang w:val="mn-MN"/>
            </w:rPr>
          </w:pPr>
          <w:r w:rsidRPr="007A52CB">
            <w:rPr>
              <w:lang w:val="mn-MN"/>
            </w:rPr>
            <w:t>Гарчиг</w:t>
          </w:r>
        </w:p>
        <w:p w14:paraId="0D756E7B" w14:textId="15B9484C" w:rsidR="00D43310" w:rsidRPr="007A52CB" w:rsidRDefault="00621C32">
          <w:pPr>
            <w:pStyle w:val="TOC1"/>
            <w:tabs>
              <w:tab w:val="right" w:leader="dot" w:pos="9016"/>
            </w:tabs>
            <w:rPr>
              <w:rFonts w:asciiTheme="minorHAnsi" w:eastAsiaTheme="minorEastAsia" w:hAnsiTheme="minorHAnsi"/>
              <w:noProof/>
            </w:rPr>
          </w:pPr>
          <w:r w:rsidRPr="007A52CB">
            <w:fldChar w:fldCharType="begin"/>
          </w:r>
          <w:r w:rsidRPr="007A52CB">
            <w:instrText xml:space="preserve"> TOC \o "1-3" \h \z \u </w:instrText>
          </w:r>
          <w:r w:rsidRPr="007A52CB">
            <w:fldChar w:fldCharType="separate"/>
          </w:r>
          <w:hyperlink w:anchor="_Toc107050567" w:history="1">
            <w:r w:rsidR="00D43310" w:rsidRPr="007A52CB">
              <w:rPr>
                <w:rStyle w:val="Hyperlink"/>
                <w:noProof/>
              </w:rPr>
              <w:t>Оршил</w:t>
            </w:r>
            <w:r w:rsidR="00D43310" w:rsidRPr="007A52CB">
              <w:rPr>
                <w:noProof/>
                <w:webHidden/>
              </w:rPr>
              <w:tab/>
            </w:r>
            <w:r w:rsidR="00D43310" w:rsidRPr="007A52CB">
              <w:rPr>
                <w:noProof/>
                <w:webHidden/>
              </w:rPr>
              <w:fldChar w:fldCharType="begin"/>
            </w:r>
            <w:r w:rsidR="00D43310" w:rsidRPr="007A52CB">
              <w:rPr>
                <w:noProof/>
                <w:webHidden/>
              </w:rPr>
              <w:instrText xml:space="preserve"> PAGEREF _Toc107050567 \h </w:instrText>
            </w:r>
            <w:r w:rsidR="00D43310" w:rsidRPr="007A52CB">
              <w:rPr>
                <w:noProof/>
                <w:webHidden/>
              </w:rPr>
            </w:r>
            <w:r w:rsidR="00D43310" w:rsidRPr="007A52CB">
              <w:rPr>
                <w:noProof/>
                <w:webHidden/>
              </w:rPr>
              <w:fldChar w:fldCharType="separate"/>
            </w:r>
            <w:r w:rsidR="009C3286" w:rsidRPr="007A52CB">
              <w:rPr>
                <w:noProof/>
                <w:webHidden/>
              </w:rPr>
              <w:t>3</w:t>
            </w:r>
            <w:r w:rsidR="00D43310" w:rsidRPr="007A52CB">
              <w:rPr>
                <w:noProof/>
                <w:webHidden/>
              </w:rPr>
              <w:fldChar w:fldCharType="end"/>
            </w:r>
          </w:hyperlink>
        </w:p>
        <w:p w14:paraId="6D1C23C5" w14:textId="196B632E" w:rsidR="00D43310" w:rsidRPr="007A52CB" w:rsidRDefault="007A52CB">
          <w:pPr>
            <w:pStyle w:val="TOC1"/>
            <w:tabs>
              <w:tab w:val="left" w:pos="440"/>
              <w:tab w:val="right" w:leader="dot" w:pos="9016"/>
            </w:tabs>
            <w:rPr>
              <w:rFonts w:asciiTheme="minorHAnsi" w:eastAsiaTheme="minorEastAsia" w:hAnsiTheme="minorHAnsi"/>
              <w:noProof/>
            </w:rPr>
          </w:pPr>
          <w:hyperlink w:anchor="_Toc107050568" w:history="1">
            <w:r w:rsidR="00D43310" w:rsidRPr="007A52CB">
              <w:rPr>
                <w:rStyle w:val="Hyperlink"/>
                <w:rFonts w:eastAsia="Times New Roman"/>
                <w:noProof/>
              </w:rPr>
              <w:t>1.</w:t>
            </w:r>
            <w:r w:rsidR="00D43310" w:rsidRPr="007A52CB">
              <w:rPr>
                <w:rFonts w:asciiTheme="minorHAnsi" w:eastAsiaTheme="minorEastAsia" w:hAnsiTheme="minorHAnsi"/>
                <w:noProof/>
              </w:rPr>
              <w:tab/>
            </w:r>
            <w:r w:rsidR="00D43310" w:rsidRPr="007A52CB">
              <w:rPr>
                <w:rStyle w:val="Hyperlink"/>
                <w:rFonts w:eastAsia="Times New Roman"/>
                <w:noProof/>
              </w:rPr>
              <w:t>Хэлэлцүүлгийн зохион байгуулалт</w:t>
            </w:r>
            <w:r w:rsidR="00D43310" w:rsidRPr="007A52CB">
              <w:rPr>
                <w:noProof/>
                <w:webHidden/>
              </w:rPr>
              <w:tab/>
            </w:r>
            <w:r w:rsidR="00D43310" w:rsidRPr="007A52CB">
              <w:rPr>
                <w:noProof/>
                <w:webHidden/>
              </w:rPr>
              <w:fldChar w:fldCharType="begin"/>
            </w:r>
            <w:r w:rsidR="00D43310" w:rsidRPr="007A52CB">
              <w:rPr>
                <w:noProof/>
                <w:webHidden/>
              </w:rPr>
              <w:instrText xml:space="preserve"> PAGEREF _Toc107050568 \h </w:instrText>
            </w:r>
            <w:r w:rsidR="00D43310" w:rsidRPr="007A52CB">
              <w:rPr>
                <w:noProof/>
                <w:webHidden/>
              </w:rPr>
            </w:r>
            <w:r w:rsidR="00D43310" w:rsidRPr="007A52CB">
              <w:rPr>
                <w:noProof/>
                <w:webHidden/>
              </w:rPr>
              <w:fldChar w:fldCharType="separate"/>
            </w:r>
            <w:r w:rsidR="009C3286" w:rsidRPr="007A52CB">
              <w:rPr>
                <w:noProof/>
                <w:webHidden/>
              </w:rPr>
              <w:t>3</w:t>
            </w:r>
            <w:r w:rsidR="00D43310" w:rsidRPr="007A52CB">
              <w:rPr>
                <w:noProof/>
                <w:webHidden/>
              </w:rPr>
              <w:fldChar w:fldCharType="end"/>
            </w:r>
          </w:hyperlink>
        </w:p>
        <w:p w14:paraId="6B953A85" w14:textId="770422EA" w:rsidR="00D43310" w:rsidRPr="007A52CB" w:rsidRDefault="007A52CB">
          <w:pPr>
            <w:pStyle w:val="TOC1"/>
            <w:tabs>
              <w:tab w:val="left" w:pos="440"/>
              <w:tab w:val="right" w:leader="dot" w:pos="9016"/>
            </w:tabs>
            <w:rPr>
              <w:rFonts w:asciiTheme="minorHAnsi" w:eastAsiaTheme="minorEastAsia" w:hAnsiTheme="minorHAnsi"/>
              <w:noProof/>
            </w:rPr>
          </w:pPr>
          <w:hyperlink w:anchor="_Toc107050569" w:history="1">
            <w:r w:rsidR="00D43310" w:rsidRPr="007A52CB">
              <w:rPr>
                <w:rStyle w:val="Hyperlink"/>
                <w:noProof/>
              </w:rPr>
              <w:t>2.</w:t>
            </w:r>
            <w:r w:rsidR="00D43310" w:rsidRPr="007A52CB">
              <w:rPr>
                <w:rFonts w:asciiTheme="minorHAnsi" w:eastAsiaTheme="minorEastAsia" w:hAnsiTheme="minorHAnsi"/>
                <w:noProof/>
              </w:rPr>
              <w:tab/>
            </w:r>
            <w:r w:rsidR="00D43310" w:rsidRPr="007A52CB">
              <w:rPr>
                <w:rStyle w:val="Hyperlink"/>
                <w:noProof/>
              </w:rPr>
              <w:t>Хэлэлцүүлгээр хөндсөн асуудлууд</w:t>
            </w:r>
            <w:r w:rsidR="00D43310" w:rsidRPr="007A52CB">
              <w:rPr>
                <w:noProof/>
                <w:webHidden/>
              </w:rPr>
              <w:tab/>
            </w:r>
            <w:r w:rsidR="00D43310" w:rsidRPr="007A52CB">
              <w:rPr>
                <w:noProof/>
                <w:webHidden/>
              </w:rPr>
              <w:fldChar w:fldCharType="begin"/>
            </w:r>
            <w:r w:rsidR="00D43310" w:rsidRPr="007A52CB">
              <w:rPr>
                <w:noProof/>
                <w:webHidden/>
              </w:rPr>
              <w:instrText xml:space="preserve"> PAGEREF _Toc107050569 \h </w:instrText>
            </w:r>
            <w:r w:rsidR="00D43310" w:rsidRPr="007A52CB">
              <w:rPr>
                <w:noProof/>
                <w:webHidden/>
              </w:rPr>
            </w:r>
            <w:r w:rsidR="00D43310" w:rsidRPr="007A52CB">
              <w:rPr>
                <w:noProof/>
                <w:webHidden/>
              </w:rPr>
              <w:fldChar w:fldCharType="separate"/>
            </w:r>
            <w:r w:rsidR="009C3286" w:rsidRPr="007A52CB">
              <w:rPr>
                <w:noProof/>
                <w:webHidden/>
              </w:rPr>
              <w:t>5</w:t>
            </w:r>
            <w:r w:rsidR="00D43310" w:rsidRPr="007A52CB">
              <w:rPr>
                <w:noProof/>
                <w:webHidden/>
              </w:rPr>
              <w:fldChar w:fldCharType="end"/>
            </w:r>
          </w:hyperlink>
        </w:p>
        <w:p w14:paraId="56F2E731" w14:textId="78DD45A5" w:rsidR="00D43310" w:rsidRPr="007A52CB" w:rsidRDefault="007A52CB">
          <w:pPr>
            <w:pStyle w:val="TOC1"/>
            <w:tabs>
              <w:tab w:val="right" w:leader="dot" w:pos="9016"/>
            </w:tabs>
            <w:rPr>
              <w:rFonts w:asciiTheme="minorHAnsi" w:eastAsiaTheme="minorEastAsia" w:hAnsiTheme="minorHAnsi"/>
              <w:noProof/>
            </w:rPr>
          </w:pPr>
          <w:hyperlink w:anchor="_Toc107050570" w:history="1">
            <w:r w:rsidR="00D43310" w:rsidRPr="007A52CB">
              <w:rPr>
                <w:rStyle w:val="Hyperlink"/>
                <w:noProof/>
              </w:rPr>
              <w:t>Хавсралтууд</w:t>
            </w:r>
            <w:r w:rsidR="00D43310" w:rsidRPr="007A52CB">
              <w:rPr>
                <w:noProof/>
                <w:webHidden/>
              </w:rPr>
              <w:tab/>
            </w:r>
            <w:r w:rsidR="00D43310" w:rsidRPr="007A52CB">
              <w:rPr>
                <w:noProof/>
                <w:webHidden/>
              </w:rPr>
              <w:fldChar w:fldCharType="begin"/>
            </w:r>
            <w:r w:rsidR="00D43310" w:rsidRPr="007A52CB">
              <w:rPr>
                <w:noProof/>
                <w:webHidden/>
              </w:rPr>
              <w:instrText xml:space="preserve"> PAGEREF _Toc107050570 \h </w:instrText>
            </w:r>
            <w:r w:rsidR="00D43310" w:rsidRPr="007A52CB">
              <w:rPr>
                <w:noProof/>
                <w:webHidden/>
              </w:rPr>
            </w:r>
            <w:r w:rsidR="00D43310" w:rsidRPr="007A52CB">
              <w:rPr>
                <w:noProof/>
                <w:webHidden/>
              </w:rPr>
              <w:fldChar w:fldCharType="separate"/>
            </w:r>
            <w:r w:rsidR="009C3286" w:rsidRPr="007A52CB">
              <w:rPr>
                <w:noProof/>
                <w:webHidden/>
              </w:rPr>
              <w:t>9</w:t>
            </w:r>
            <w:r w:rsidR="00D43310" w:rsidRPr="007A52CB">
              <w:rPr>
                <w:noProof/>
                <w:webHidden/>
              </w:rPr>
              <w:fldChar w:fldCharType="end"/>
            </w:r>
          </w:hyperlink>
        </w:p>
        <w:p w14:paraId="7DAAA012" w14:textId="3F9C2BC7" w:rsidR="009F5BD3" w:rsidRPr="007A52CB" w:rsidRDefault="00621C32">
          <w:r w:rsidRPr="007A52CB">
            <w:rPr>
              <w:b/>
              <w:bCs/>
              <w:noProof/>
            </w:rPr>
            <w:fldChar w:fldCharType="end"/>
          </w:r>
        </w:p>
      </w:sdtContent>
    </w:sdt>
    <w:p w14:paraId="6BF29262" w14:textId="13D88092" w:rsidR="009F5BD3" w:rsidRPr="007A52CB" w:rsidRDefault="009F5BD3" w:rsidP="009F5BD3"/>
    <w:p w14:paraId="52E93703" w14:textId="77777777" w:rsidR="009F5BD3" w:rsidRPr="007A52CB" w:rsidRDefault="009F5BD3">
      <w:r w:rsidRPr="007A52CB">
        <w:br w:type="page"/>
      </w:r>
    </w:p>
    <w:p w14:paraId="3BAA6878" w14:textId="56BD5B2B" w:rsidR="008D4D3C" w:rsidRPr="007A52CB" w:rsidRDefault="008D4D3C" w:rsidP="008D4D3C">
      <w:pPr>
        <w:pStyle w:val="Heading1"/>
      </w:pPr>
      <w:bookmarkStart w:id="0" w:name="_Toc107050567"/>
      <w:r w:rsidRPr="007A52CB">
        <w:lastRenderedPageBreak/>
        <w:t>Оршил</w:t>
      </w:r>
      <w:bookmarkEnd w:id="0"/>
    </w:p>
    <w:p w14:paraId="758729EB" w14:textId="77A28557" w:rsidR="00D76C4E" w:rsidRPr="007A52CB" w:rsidRDefault="009F5BD3" w:rsidP="00015C35">
      <w:r w:rsidRPr="007A52CB">
        <w:t>Хөгжлийн шийдэл</w:t>
      </w:r>
      <w:r w:rsidR="00015C35" w:rsidRPr="007A52CB">
        <w:t xml:space="preserve"> ТББ</w:t>
      </w:r>
      <w:r w:rsidR="008D4D3C" w:rsidRPr="007A52CB">
        <w:t>, Эдийн засгийн судалгаа, эрдэм шинжилгээний хүрээлэн ТББ</w:t>
      </w:r>
      <w:r w:rsidR="00D76C4E" w:rsidRPr="007A52CB">
        <w:t xml:space="preserve"> (ЭЗСЭШХ)</w:t>
      </w:r>
      <w:r w:rsidR="00015C35" w:rsidRPr="007A52CB">
        <w:t xml:space="preserve"> хамтран хэрэгжүүлж буй “ЦАР ТАХЛЫН ҮЕИЙН ЭДИЙН ЗАСГИЙН БОДЛОГО: ӨНГӨРСӨН БА ИРЭЭДҮЙ” нэгдсэн форум зохион байгуулах ажлын </w:t>
      </w:r>
      <w:r w:rsidR="008D4D3C" w:rsidRPr="007A52CB">
        <w:t>эхний үе шатыг амжилттай хэрэгжүүллээ.</w:t>
      </w:r>
    </w:p>
    <w:p w14:paraId="0343C341" w14:textId="77777777" w:rsidR="00D76C4E" w:rsidRPr="007A52CB" w:rsidRDefault="00D76C4E" w:rsidP="00015C35">
      <w:pPr>
        <w:rPr>
          <w:rFonts w:eastAsia="Times New Roman" w:cs="Times New Roman"/>
        </w:rPr>
      </w:pPr>
      <w:r w:rsidRPr="007A52CB">
        <w:rPr>
          <w:rFonts w:eastAsia="Times New Roman" w:cs="Times New Roman"/>
        </w:rPr>
        <w:t>Эхний үе шатанд дараах зорилтуудыг тавьсан. Үүнд:</w:t>
      </w:r>
    </w:p>
    <w:p w14:paraId="1F6F95FB" w14:textId="77777777" w:rsidR="00D76C4E" w:rsidRPr="007A52CB" w:rsidRDefault="00D76C4E" w:rsidP="00D76C4E">
      <w:pPr>
        <w:pStyle w:val="ListParagraph"/>
        <w:numPr>
          <w:ilvl w:val="0"/>
          <w:numId w:val="1"/>
        </w:numPr>
      </w:pPr>
      <w:r w:rsidRPr="007A52CB">
        <w:rPr>
          <w:rFonts w:eastAsia="Times New Roman" w:cs="Times New Roman"/>
        </w:rPr>
        <w:t>“Эдийн засгаа эрчимжүүлэх хөтөлбөрийн хувийн секторын үр нөлөө, сургамж” сэдэвт судалгааны</w:t>
      </w:r>
      <w:r w:rsidR="008D4D3C" w:rsidRPr="007A52CB">
        <w:t xml:space="preserve"> </w:t>
      </w:r>
      <w:r w:rsidRPr="007A52CB">
        <w:t>ажил хийх</w:t>
      </w:r>
    </w:p>
    <w:p w14:paraId="7CC669C3" w14:textId="45E312B8" w:rsidR="0070454B" w:rsidRPr="007A52CB" w:rsidRDefault="00D76C4E" w:rsidP="00D76C4E">
      <w:pPr>
        <w:pStyle w:val="ListParagraph"/>
        <w:numPr>
          <w:ilvl w:val="0"/>
          <w:numId w:val="1"/>
        </w:numPr>
      </w:pPr>
      <w:r w:rsidRPr="007A52CB">
        <w:t>Дээрх судалгааны урьдчилсан үр дүнд суурилсан хэлэлцүүлгийг хөтөлбөрийн оролцогч талуудыг хамруулан зохион байгуулж, судалгаанд шаардлагатай нэмэлт мэдээллийг цуглуулах</w:t>
      </w:r>
    </w:p>
    <w:p w14:paraId="7C4032A0" w14:textId="527DC71B" w:rsidR="00D76C4E" w:rsidRPr="007A52CB" w:rsidRDefault="00D76C4E" w:rsidP="00D76C4E">
      <w:pPr>
        <w:pStyle w:val="ListParagraph"/>
        <w:numPr>
          <w:ilvl w:val="0"/>
          <w:numId w:val="1"/>
        </w:numPr>
      </w:pPr>
      <w:r w:rsidRPr="007A52CB">
        <w:t>Судалгаа болон хэлэлцүүлгээс гарах гол дүгнэлт, саналыг боловсруулж, нэгдсэн форумд танилцуулах илтгэлийн гол агуулгыг бэлтгэх</w:t>
      </w:r>
    </w:p>
    <w:p w14:paraId="3E4C27BB" w14:textId="31BFE3AC" w:rsidR="00D76C4E" w:rsidRPr="007A52CB" w:rsidRDefault="00D76C4E" w:rsidP="00D76C4E">
      <w:r w:rsidRPr="007A52CB">
        <w:t xml:space="preserve">ЭЗСЭШХ эхний зорилт болох </w:t>
      </w:r>
      <w:r w:rsidRPr="007A52CB">
        <w:rPr>
          <w:rFonts w:eastAsia="Times New Roman" w:cs="Times New Roman"/>
        </w:rPr>
        <w:t>“Эдийн засгаа эрчимжүүлэх хөтөлбөрийн хувийн секторын үр нөлөө, сургамж” сэдэвт судалгааны</w:t>
      </w:r>
      <w:r w:rsidRPr="007A52CB">
        <w:t xml:space="preserve"> ажлын урьдчилсан тайланг 2022 оны 5-р сарын 25-нд бэлтгэж захиалагчид хүргүүлсэн. Тус хөтөлбөрийн талаарх нийтэд нээлттэй мэдээлэл дутагдалтай, байгаа мэдээлэл нь нэлээд хуучин байсан тул эхний хэлэлцүүлгийн үеэр оролцогч талуудаас тус хөтөлбөрийн хэрэгжилт, үр дүнгийн талаар бодитой, шинэ мэдээлэл олж авахыг зорьсон. Хэлэлцүүлгийн үеэр болон бусад үед цуглуулсан нэмэлт мэдээлэлд үндэслэн дээрх судалгааны тайланг шинэчилж, энэхүү хэлэлцүүлгийн тайлантай хамт захиалагчид хүргүүлэв. </w:t>
      </w:r>
    </w:p>
    <w:p w14:paraId="298E008C" w14:textId="0D91DA96" w:rsidR="00D76C4E" w:rsidRPr="007A52CB" w:rsidRDefault="00691782" w:rsidP="00D76C4E">
      <w:pPr>
        <w:rPr>
          <w:rFonts w:eastAsia="Times New Roman" w:cs="Times New Roman"/>
        </w:rPr>
      </w:pPr>
      <w:r w:rsidRPr="007A52CB">
        <w:t>Э</w:t>
      </w:r>
      <w:r w:rsidR="00D76C4E" w:rsidRPr="007A52CB">
        <w:t xml:space="preserve">хний шатны хэлэлцүүлэг болох </w:t>
      </w:r>
      <w:r w:rsidR="00D76C4E" w:rsidRPr="007A52CB">
        <w:rPr>
          <w:rFonts w:eastAsia="Times New Roman" w:cs="Times New Roman"/>
        </w:rPr>
        <w:t>“Эдийн засгаа эрчимжүүлэх хөтөлбөрийн хувийн секторын үр нөлөө, сургамж” хэлэлцүүлгийн зохион байгуулалт үр дүнгийн талаар тайлангийн дараах хэсгүүдэд дурдана.</w:t>
      </w:r>
    </w:p>
    <w:p w14:paraId="0C6010B5" w14:textId="59D16D6B" w:rsidR="00D76C4E" w:rsidRPr="007A52CB" w:rsidRDefault="00D76C4E" w:rsidP="00D76C4E">
      <w:pPr>
        <w:pStyle w:val="Heading1"/>
        <w:numPr>
          <w:ilvl w:val="0"/>
          <w:numId w:val="2"/>
        </w:numPr>
        <w:rPr>
          <w:rFonts w:eastAsia="Times New Roman"/>
        </w:rPr>
      </w:pPr>
      <w:bookmarkStart w:id="1" w:name="_Toc107050568"/>
      <w:r w:rsidRPr="007A52CB">
        <w:rPr>
          <w:rFonts w:eastAsia="Times New Roman"/>
        </w:rPr>
        <w:t>Хэлэлцүүлгийн зохион байгуулалт</w:t>
      </w:r>
      <w:bookmarkEnd w:id="1"/>
    </w:p>
    <w:p w14:paraId="0DA9AF96" w14:textId="1B23306F" w:rsidR="00166E45" w:rsidRPr="007A52CB" w:rsidRDefault="00DC4B2F" w:rsidP="00166E45">
      <w:pPr>
        <w:spacing w:line="276" w:lineRule="auto"/>
        <w:rPr>
          <w:rFonts w:cs="Times New Roman"/>
        </w:rPr>
      </w:pPr>
      <w:r w:rsidRPr="007A52CB">
        <w:rPr>
          <w:rFonts w:eastAsia="Times New Roman" w:cs="Times New Roman"/>
        </w:rPr>
        <w:t xml:space="preserve">“Эдийн засгаа эрчимжүүлэх хөтөлбөр буюу 10 их наядын цогц төлөвлөгөөний </w:t>
      </w:r>
      <w:proofErr w:type="spellStart"/>
      <w:r w:rsidRPr="007A52CB">
        <w:rPr>
          <w:rFonts w:eastAsia="Times New Roman" w:cs="Times New Roman"/>
        </w:rPr>
        <w:t>ЖДҮ</w:t>
      </w:r>
      <w:proofErr w:type="spellEnd"/>
      <w:r w:rsidRPr="007A52CB">
        <w:rPr>
          <w:rFonts w:eastAsia="Times New Roman" w:cs="Times New Roman"/>
        </w:rPr>
        <w:t xml:space="preserve"> салбарын үр нөлөө ба сургамж” сэдэвт х</w:t>
      </w:r>
      <w:r w:rsidRPr="007A52CB">
        <w:t xml:space="preserve">элэлцүүлгийг 2022 оны 6-р сарын 17-нд Улаанбаатар хотод </w:t>
      </w:r>
      <w:proofErr w:type="spellStart"/>
      <w:r w:rsidRPr="007A52CB">
        <w:t>Блю</w:t>
      </w:r>
      <w:proofErr w:type="spellEnd"/>
      <w:r w:rsidRPr="007A52CB">
        <w:t xml:space="preserve"> </w:t>
      </w:r>
      <w:proofErr w:type="spellStart"/>
      <w:r w:rsidRPr="007A52CB">
        <w:t>Скай</w:t>
      </w:r>
      <w:proofErr w:type="spellEnd"/>
      <w:r w:rsidRPr="007A52CB">
        <w:t xml:space="preserve"> зочид буудалд зохион байгуулав. </w:t>
      </w:r>
      <w:r w:rsidR="00166E45" w:rsidRPr="007A52CB">
        <w:t xml:space="preserve">Хэлэлцүүлэгт </w:t>
      </w:r>
      <w:r w:rsidR="00166E45" w:rsidRPr="007A52CB">
        <w:rPr>
          <w:rFonts w:cs="Times New Roman"/>
        </w:rPr>
        <w:t xml:space="preserve">тус хөтөлбөрийг хэрэгжүүлэгч байгууллагууд, зарим холбоодын төлөөлөл болон хувиараа бизнес эрхлэгч нийт 42 хүн оролцсон. Хэлэлцүүлэгт ирсэн зочдын 43% нь төрийн байгууллагын төлөөлөл байсан бол нийт оролцогчдын 31% нь хувиараа бизнес эрхлэгчид байжээ. </w:t>
      </w:r>
    </w:p>
    <w:p w14:paraId="41C1B2F5" w14:textId="77777777" w:rsidR="00166E45" w:rsidRPr="007A52CB" w:rsidRDefault="00166E45" w:rsidP="00166E45">
      <w:pPr>
        <w:pStyle w:val="Caption"/>
        <w:rPr>
          <w:rFonts w:ascii="Times New Roman" w:hAnsi="Times New Roman" w:cs="Times New Roman"/>
          <w:b/>
          <w:bCs/>
          <w:color w:val="auto"/>
          <w:sz w:val="22"/>
          <w:szCs w:val="22"/>
          <w:lang w:val="mn-MN"/>
        </w:rPr>
      </w:pPr>
      <w:r w:rsidRPr="007A52CB">
        <w:rPr>
          <w:rFonts w:ascii="Times New Roman" w:hAnsi="Times New Roman" w:cs="Times New Roman"/>
          <w:b/>
          <w:bCs/>
          <w:color w:val="auto"/>
          <w:sz w:val="22"/>
          <w:szCs w:val="22"/>
          <w:lang w:val="mn-MN"/>
        </w:rPr>
        <w:t xml:space="preserve">Зураг </w:t>
      </w:r>
      <w:r w:rsidRPr="007A52CB">
        <w:rPr>
          <w:rFonts w:ascii="Times New Roman" w:hAnsi="Times New Roman" w:cs="Times New Roman"/>
          <w:b/>
          <w:bCs/>
          <w:color w:val="auto"/>
          <w:sz w:val="22"/>
          <w:szCs w:val="22"/>
          <w:lang w:val="mn-MN"/>
        </w:rPr>
        <w:fldChar w:fldCharType="begin"/>
      </w:r>
      <w:r w:rsidRPr="007A52CB">
        <w:rPr>
          <w:rFonts w:ascii="Times New Roman" w:hAnsi="Times New Roman" w:cs="Times New Roman"/>
          <w:b/>
          <w:bCs/>
          <w:color w:val="auto"/>
          <w:sz w:val="22"/>
          <w:szCs w:val="22"/>
          <w:lang w:val="mn-MN"/>
        </w:rPr>
        <w:instrText xml:space="preserve"> SEQ Зураг \* ARABIC </w:instrText>
      </w:r>
      <w:r w:rsidRPr="007A52CB">
        <w:rPr>
          <w:rFonts w:ascii="Times New Roman" w:hAnsi="Times New Roman" w:cs="Times New Roman"/>
          <w:b/>
          <w:bCs/>
          <w:color w:val="auto"/>
          <w:sz w:val="22"/>
          <w:szCs w:val="22"/>
          <w:lang w:val="mn-MN"/>
        </w:rPr>
        <w:fldChar w:fldCharType="separate"/>
      </w:r>
      <w:r w:rsidRPr="007A52CB">
        <w:rPr>
          <w:rFonts w:ascii="Times New Roman" w:hAnsi="Times New Roman" w:cs="Times New Roman"/>
          <w:b/>
          <w:bCs/>
          <w:noProof/>
          <w:color w:val="auto"/>
          <w:sz w:val="22"/>
          <w:szCs w:val="22"/>
          <w:lang w:val="mn-MN"/>
        </w:rPr>
        <w:t>1</w:t>
      </w:r>
      <w:r w:rsidRPr="007A52CB">
        <w:rPr>
          <w:rFonts w:ascii="Times New Roman" w:hAnsi="Times New Roman" w:cs="Times New Roman"/>
          <w:b/>
          <w:bCs/>
          <w:color w:val="auto"/>
          <w:sz w:val="22"/>
          <w:szCs w:val="22"/>
          <w:lang w:val="mn-MN"/>
        </w:rPr>
        <w:fldChar w:fldCharType="end"/>
      </w:r>
      <w:r w:rsidRPr="007A52CB">
        <w:rPr>
          <w:rFonts w:ascii="Times New Roman" w:hAnsi="Times New Roman" w:cs="Times New Roman"/>
          <w:b/>
          <w:bCs/>
          <w:color w:val="auto"/>
          <w:sz w:val="22"/>
          <w:szCs w:val="22"/>
          <w:lang w:val="mn-MN"/>
        </w:rPr>
        <w:t>. Хэлэлцүүлэгт оролцогчид, байгууллагын төрлөөр, хувиар</w:t>
      </w:r>
    </w:p>
    <w:p w14:paraId="3EFB33F3" w14:textId="77777777" w:rsidR="00166E45" w:rsidRPr="007A52CB" w:rsidRDefault="00166E45" w:rsidP="00166E45">
      <w:pPr>
        <w:jc w:val="center"/>
      </w:pPr>
      <w:r w:rsidRPr="007A52CB">
        <w:rPr>
          <w:noProof/>
        </w:rPr>
        <w:drawing>
          <wp:inline distT="0" distB="0" distL="0" distR="0" wp14:anchorId="080079D2" wp14:editId="154E28EF">
            <wp:extent cx="4779034" cy="2009955"/>
            <wp:effectExtent l="0" t="0" r="2540" b="0"/>
            <wp:docPr id="1" name="Chart 1">
              <a:extLst xmlns:a="http://schemas.openxmlformats.org/drawingml/2006/main">
                <a:ext uri="{FF2B5EF4-FFF2-40B4-BE49-F238E27FC236}">
                  <a16:creationId xmlns:a16="http://schemas.microsoft.com/office/drawing/2014/main" id="{82263364-FCC7-D57A-A492-F8188C7D63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04CE0A" w14:textId="77777777" w:rsidR="00166E45" w:rsidRPr="007A52CB" w:rsidRDefault="00166E45" w:rsidP="00166E45">
      <w:pPr>
        <w:pStyle w:val="Caption"/>
        <w:spacing w:line="276" w:lineRule="auto"/>
        <w:jc w:val="both"/>
        <w:rPr>
          <w:rFonts w:ascii="Times New Roman" w:hAnsi="Times New Roman" w:cs="Times New Roman"/>
          <w:i w:val="0"/>
          <w:iCs w:val="0"/>
          <w:color w:val="auto"/>
          <w:sz w:val="22"/>
          <w:szCs w:val="22"/>
          <w:lang w:val="mn-MN"/>
        </w:rPr>
      </w:pPr>
      <w:r w:rsidRPr="007A52CB">
        <w:rPr>
          <w:rFonts w:ascii="Times New Roman" w:hAnsi="Times New Roman" w:cs="Times New Roman"/>
          <w:i w:val="0"/>
          <w:iCs w:val="0"/>
          <w:color w:val="auto"/>
          <w:sz w:val="22"/>
          <w:szCs w:val="22"/>
          <w:lang w:val="mn-MN"/>
        </w:rPr>
        <w:lastRenderedPageBreak/>
        <w:t xml:space="preserve">Төрийн байгууллагууд буюу Сангийн яам, </w:t>
      </w:r>
      <w:proofErr w:type="spellStart"/>
      <w:r w:rsidRPr="007A52CB">
        <w:rPr>
          <w:rFonts w:ascii="Times New Roman" w:hAnsi="Times New Roman" w:cs="Times New Roman"/>
          <w:i w:val="0"/>
          <w:iCs w:val="0"/>
          <w:color w:val="auto"/>
          <w:sz w:val="22"/>
          <w:szCs w:val="22"/>
          <w:lang w:val="mn-MN"/>
        </w:rPr>
        <w:t>Монголбанк</w:t>
      </w:r>
      <w:proofErr w:type="spellEnd"/>
      <w:r w:rsidRPr="007A52CB">
        <w:rPr>
          <w:rFonts w:ascii="Times New Roman" w:hAnsi="Times New Roman" w:cs="Times New Roman"/>
          <w:i w:val="0"/>
          <w:iCs w:val="0"/>
          <w:color w:val="auto"/>
          <w:sz w:val="22"/>
          <w:szCs w:val="22"/>
          <w:lang w:val="mn-MN"/>
        </w:rPr>
        <w:t xml:space="preserve">, </w:t>
      </w:r>
      <w:proofErr w:type="spellStart"/>
      <w:r w:rsidRPr="007A52CB">
        <w:rPr>
          <w:rFonts w:ascii="Times New Roman" w:hAnsi="Times New Roman" w:cs="Times New Roman"/>
          <w:i w:val="0"/>
          <w:iCs w:val="0"/>
          <w:color w:val="auto"/>
          <w:sz w:val="22"/>
          <w:szCs w:val="22"/>
          <w:lang w:val="mn-MN"/>
        </w:rPr>
        <w:t>ХНХЯ</w:t>
      </w:r>
      <w:proofErr w:type="spellEnd"/>
      <w:r w:rsidRPr="007A52CB">
        <w:rPr>
          <w:rFonts w:ascii="Times New Roman" w:hAnsi="Times New Roman" w:cs="Times New Roman"/>
          <w:i w:val="0"/>
          <w:iCs w:val="0"/>
          <w:color w:val="auto"/>
          <w:sz w:val="22"/>
          <w:szCs w:val="22"/>
          <w:lang w:val="mn-MN"/>
        </w:rPr>
        <w:t>, Жижиг дунд үйлдвэрийн газар, Зээлийн батлан даалтын сан гэх мэт 7 байгууллагын төлөөлөл 21 хүн урьснаас 18 хүн оролцжээ. Санхүүгийн байгууллагууд буюу хөнгөлөлттэй зээл олгож буй арилжааны 7 банкны төлөөлөл урьснаас 3 банкнаас хэлэлцүүлэгт ирсэн. Нийт 25 хувиараа бизнес эрхлэгчдийг хэлэлцүүлэгт урьсны 13 нь оролцон, өөрийн санал хүсэлтээ илэрхийлсэн. Мөн Оёдлын салбарын мэргэжлийн нэгдсэн холбоо, Хог хаягдал дахин боловсруулагчдын үндэсний холбоо зэрэг төрийн бус байгууллагыг төлөөлж 8 хүн оролцжээ. Хэлэлцүүлэгт нийт 66 зочин урьснаас 42 буюу 64% нь оролцон, мэдээлэл хуваалцаж, санал хүсэлтээ илэрхийлжээ. Нийт оролцогчдын 22 нь буюу 52% нь эрэгтэй байв.</w:t>
      </w:r>
    </w:p>
    <w:p w14:paraId="41612A87" w14:textId="1E5F8561" w:rsidR="00166E45" w:rsidRPr="007A52CB" w:rsidRDefault="00166E45" w:rsidP="00166E45">
      <w:pPr>
        <w:pStyle w:val="Caption"/>
        <w:rPr>
          <w:rFonts w:ascii="Times New Roman" w:hAnsi="Times New Roman" w:cs="Times New Roman"/>
          <w:b/>
          <w:bCs/>
          <w:color w:val="auto"/>
          <w:sz w:val="22"/>
          <w:szCs w:val="22"/>
          <w:lang w:val="mn-MN"/>
        </w:rPr>
      </w:pPr>
      <w:r w:rsidRPr="007A52CB">
        <w:rPr>
          <w:rFonts w:ascii="Times New Roman" w:hAnsi="Times New Roman" w:cs="Times New Roman"/>
          <w:b/>
          <w:bCs/>
          <w:color w:val="auto"/>
          <w:sz w:val="22"/>
          <w:szCs w:val="22"/>
          <w:lang w:val="mn-MN"/>
        </w:rPr>
        <w:t xml:space="preserve">Хүснэгт </w:t>
      </w:r>
      <w:r w:rsidRPr="007A52CB">
        <w:rPr>
          <w:rFonts w:ascii="Times New Roman" w:hAnsi="Times New Roman" w:cs="Times New Roman"/>
          <w:b/>
          <w:bCs/>
          <w:color w:val="auto"/>
          <w:sz w:val="22"/>
          <w:szCs w:val="22"/>
          <w:lang w:val="mn-MN"/>
        </w:rPr>
        <w:fldChar w:fldCharType="begin"/>
      </w:r>
      <w:r w:rsidRPr="007A52CB">
        <w:rPr>
          <w:rFonts w:ascii="Times New Roman" w:hAnsi="Times New Roman" w:cs="Times New Roman"/>
          <w:b/>
          <w:bCs/>
          <w:color w:val="auto"/>
          <w:sz w:val="22"/>
          <w:szCs w:val="22"/>
          <w:lang w:val="mn-MN"/>
        </w:rPr>
        <w:instrText xml:space="preserve"> SEQ Хүснэгт \* ARABIC </w:instrText>
      </w:r>
      <w:r w:rsidRPr="007A52CB">
        <w:rPr>
          <w:rFonts w:ascii="Times New Roman" w:hAnsi="Times New Roman" w:cs="Times New Roman"/>
          <w:b/>
          <w:bCs/>
          <w:color w:val="auto"/>
          <w:sz w:val="22"/>
          <w:szCs w:val="22"/>
          <w:lang w:val="mn-MN"/>
        </w:rPr>
        <w:fldChar w:fldCharType="separate"/>
      </w:r>
      <w:r w:rsidRPr="007A52CB">
        <w:rPr>
          <w:rFonts w:ascii="Times New Roman" w:hAnsi="Times New Roman" w:cs="Times New Roman"/>
          <w:b/>
          <w:bCs/>
          <w:noProof/>
          <w:color w:val="auto"/>
          <w:sz w:val="22"/>
          <w:szCs w:val="22"/>
          <w:lang w:val="mn-MN"/>
        </w:rPr>
        <w:t>1</w:t>
      </w:r>
      <w:r w:rsidRPr="007A52CB">
        <w:rPr>
          <w:rFonts w:ascii="Times New Roman" w:hAnsi="Times New Roman" w:cs="Times New Roman"/>
          <w:b/>
          <w:bCs/>
          <w:color w:val="auto"/>
          <w:sz w:val="22"/>
          <w:szCs w:val="22"/>
          <w:lang w:val="mn-MN"/>
        </w:rPr>
        <w:fldChar w:fldCharType="end"/>
      </w:r>
      <w:r w:rsidRPr="007A52CB">
        <w:rPr>
          <w:rFonts w:ascii="Times New Roman" w:hAnsi="Times New Roman" w:cs="Times New Roman"/>
          <w:b/>
          <w:bCs/>
          <w:color w:val="auto"/>
          <w:sz w:val="22"/>
          <w:szCs w:val="22"/>
          <w:lang w:val="mn-MN"/>
        </w:rPr>
        <w:t>. Хэлэлцүүлэгт оролцогчдын ирц ба бүтэц</w:t>
      </w:r>
    </w:p>
    <w:tbl>
      <w:tblPr>
        <w:tblW w:w="8483" w:type="dxa"/>
        <w:jc w:val="center"/>
        <w:tblLook w:val="04A0" w:firstRow="1" w:lastRow="0" w:firstColumn="1" w:lastColumn="0" w:noHBand="0" w:noVBand="1"/>
      </w:tblPr>
      <w:tblGrid>
        <w:gridCol w:w="556"/>
        <w:gridCol w:w="3340"/>
        <w:gridCol w:w="1762"/>
        <w:gridCol w:w="1646"/>
        <w:gridCol w:w="1179"/>
      </w:tblGrid>
      <w:tr w:rsidR="00166E45" w:rsidRPr="007A52CB" w14:paraId="5F6950BD" w14:textId="77777777" w:rsidTr="00BA1491">
        <w:trPr>
          <w:trHeight w:val="563"/>
          <w:jc w:val="center"/>
        </w:trPr>
        <w:tc>
          <w:tcPr>
            <w:tcW w:w="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94F2A"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 №</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14:paraId="454EDB18"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Байгууллагууд</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7D380394"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Ирсэн хүний тоо</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68EE3921"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Урьсан хүний тоо</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16128447"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Ирцийн хувь</w:t>
            </w:r>
          </w:p>
        </w:tc>
      </w:tr>
      <w:tr w:rsidR="00166E45" w:rsidRPr="007A52CB" w14:paraId="284DA727" w14:textId="77777777" w:rsidTr="00BA1491">
        <w:trPr>
          <w:trHeight w:val="281"/>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664B3E4C"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1</w:t>
            </w:r>
          </w:p>
        </w:tc>
        <w:tc>
          <w:tcPr>
            <w:tcW w:w="3340" w:type="dxa"/>
            <w:tcBorders>
              <w:top w:val="nil"/>
              <w:left w:val="nil"/>
              <w:bottom w:val="single" w:sz="4" w:space="0" w:color="auto"/>
              <w:right w:val="single" w:sz="4" w:space="0" w:color="auto"/>
            </w:tcBorders>
            <w:shd w:val="clear" w:color="auto" w:fill="auto"/>
            <w:noWrap/>
            <w:vAlign w:val="center"/>
            <w:hideMark/>
          </w:tcPr>
          <w:p w14:paraId="6FA1C911"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 xml:space="preserve">Төрийн байгууллагууд </w:t>
            </w:r>
          </w:p>
        </w:tc>
        <w:tc>
          <w:tcPr>
            <w:tcW w:w="1762" w:type="dxa"/>
            <w:tcBorders>
              <w:top w:val="nil"/>
              <w:left w:val="nil"/>
              <w:bottom w:val="single" w:sz="4" w:space="0" w:color="auto"/>
              <w:right w:val="single" w:sz="4" w:space="0" w:color="auto"/>
            </w:tcBorders>
            <w:shd w:val="clear" w:color="auto" w:fill="auto"/>
            <w:noWrap/>
            <w:vAlign w:val="center"/>
            <w:hideMark/>
          </w:tcPr>
          <w:p w14:paraId="2CAB7AC0"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18</w:t>
            </w:r>
          </w:p>
        </w:tc>
        <w:tc>
          <w:tcPr>
            <w:tcW w:w="1646" w:type="dxa"/>
            <w:tcBorders>
              <w:top w:val="nil"/>
              <w:left w:val="nil"/>
              <w:bottom w:val="single" w:sz="4" w:space="0" w:color="auto"/>
              <w:right w:val="single" w:sz="4" w:space="0" w:color="auto"/>
            </w:tcBorders>
            <w:shd w:val="clear" w:color="auto" w:fill="auto"/>
            <w:noWrap/>
            <w:vAlign w:val="center"/>
            <w:hideMark/>
          </w:tcPr>
          <w:p w14:paraId="4990EF0B"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21</w:t>
            </w:r>
          </w:p>
        </w:tc>
        <w:tc>
          <w:tcPr>
            <w:tcW w:w="1179" w:type="dxa"/>
            <w:tcBorders>
              <w:top w:val="nil"/>
              <w:left w:val="nil"/>
              <w:bottom w:val="single" w:sz="4" w:space="0" w:color="auto"/>
              <w:right w:val="single" w:sz="4" w:space="0" w:color="auto"/>
            </w:tcBorders>
            <w:shd w:val="clear" w:color="auto" w:fill="auto"/>
            <w:noWrap/>
            <w:vAlign w:val="center"/>
            <w:hideMark/>
          </w:tcPr>
          <w:p w14:paraId="582F43EC"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86%</w:t>
            </w:r>
          </w:p>
        </w:tc>
      </w:tr>
      <w:tr w:rsidR="00166E45" w:rsidRPr="007A52CB" w14:paraId="08329744" w14:textId="77777777" w:rsidTr="00BA1491">
        <w:trPr>
          <w:trHeight w:val="281"/>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61244A8"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2</w:t>
            </w:r>
          </w:p>
        </w:tc>
        <w:tc>
          <w:tcPr>
            <w:tcW w:w="3340" w:type="dxa"/>
            <w:tcBorders>
              <w:top w:val="nil"/>
              <w:left w:val="nil"/>
              <w:bottom w:val="single" w:sz="4" w:space="0" w:color="auto"/>
              <w:right w:val="single" w:sz="4" w:space="0" w:color="auto"/>
            </w:tcBorders>
            <w:shd w:val="clear" w:color="auto" w:fill="auto"/>
            <w:noWrap/>
            <w:vAlign w:val="center"/>
            <w:hideMark/>
          </w:tcPr>
          <w:p w14:paraId="45E0B16E"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Санхүүгийн байгууллагууд</w:t>
            </w:r>
          </w:p>
        </w:tc>
        <w:tc>
          <w:tcPr>
            <w:tcW w:w="1762" w:type="dxa"/>
            <w:tcBorders>
              <w:top w:val="nil"/>
              <w:left w:val="nil"/>
              <w:bottom w:val="single" w:sz="4" w:space="0" w:color="auto"/>
              <w:right w:val="single" w:sz="4" w:space="0" w:color="auto"/>
            </w:tcBorders>
            <w:shd w:val="clear" w:color="auto" w:fill="auto"/>
            <w:noWrap/>
            <w:vAlign w:val="center"/>
            <w:hideMark/>
          </w:tcPr>
          <w:p w14:paraId="58039EFA"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3</w:t>
            </w:r>
          </w:p>
        </w:tc>
        <w:tc>
          <w:tcPr>
            <w:tcW w:w="1646" w:type="dxa"/>
            <w:tcBorders>
              <w:top w:val="nil"/>
              <w:left w:val="nil"/>
              <w:bottom w:val="single" w:sz="4" w:space="0" w:color="auto"/>
              <w:right w:val="single" w:sz="4" w:space="0" w:color="auto"/>
            </w:tcBorders>
            <w:shd w:val="clear" w:color="auto" w:fill="auto"/>
            <w:noWrap/>
            <w:vAlign w:val="center"/>
            <w:hideMark/>
          </w:tcPr>
          <w:p w14:paraId="1DF6CABE"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7</w:t>
            </w:r>
          </w:p>
        </w:tc>
        <w:tc>
          <w:tcPr>
            <w:tcW w:w="1179" w:type="dxa"/>
            <w:tcBorders>
              <w:top w:val="nil"/>
              <w:left w:val="nil"/>
              <w:bottom w:val="single" w:sz="4" w:space="0" w:color="auto"/>
              <w:right w:val="single" w:sz="4" w:space="0" w:color="auto"/>
            </w:tcBorders>
            <w:shd w:val="clear" w:color="auto" w:fill="auto"/>
            <w:noWrap/>
            <w:vAlign w:val="center"/>
            <w:hideMark/>
          </w:tcPr>
          <w:p w14:paraId="1FCCA069"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43%</w:t>
            </w:r>
          </w:p>
        </w:tc>
      </w:tr>
      <w:tr w:rsidR="00166E45" w:rsidRPr="007A52CB" w14:paraId="6953CE86" w14:textId="77777777" w:rsidTr="00BA1491">
        <w:trPr>
          <w:trHeight w:val="281"/>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17E1CB3F"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3</w:t>
            </w:r>
          </w:p>
        </w:tc>
        <w:tc>
          <w:tcPr>
            <w:tcW w:w="3340" w:type="dxa"/>
            <w:tcBorders>
              <w:top w:val="nil"/>
              <w:left w:val="nil"/>
              <w:bottom w:val="single" w:sz="4" w:space="0" w:color="auto"/>
              <w:right w:val="single" w:sz="4" w:space="0" w:color="auto"/>
            </w:tcBorders>
            <w:shd w:val="clear" w:color="auto" w:fill="auto"/>
            <w:noWrap/>
            <w:vAlign w:val="center"/>
            <w:hideMark/>
          </w:tcPr>
          <w:p w14:paraId="4C3EE490"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Төрийн бус байгууллагууд</w:t>
            </w:r>
          </w:p>
        </w:tc>
        <w:tc>
          <w:tcPr>
            <w:tcW w:w="1762" w:type="dxa"/>
            <w:tcBorders>
              <w:top w:val="nil"/>
              <w:left w:val="nil"/>
              <w:bottom w:val="single" w:sz="4" w:space="0" w:color="auto"/>
              <w:right w:val="single" w:sz="4" w:space="0" w:color="auto"/>
            </w:tcBorders>
            <w:shd w:val="clear" w:color="auto" w:fill="auto"/>
            <w:noWrap/>
            <w:vAlign w:val="center"/>
            <w:hideMark/>
          </w:tcPr>
          <w:p w14:paraId="23D33664"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8</w:t>
            </w:r>
          </w:p>
        </w:tc>
        <w:tc>
          <w:tcPr>
            <w:tcW w:w="1646" w:type="dxa"/>
            <w:tcBorders>
              <w:top w:val="nil"/>
              <w:left w:val="nil"/>
              <w:bottom w:val="single" w:sz="4" w:space="0" w:color="auto"/>
              <w:right w:val="single" w:sz="4" w:space="0" w:color="auto"/>
            </w:tcBorders>
            <w:shd w:val="clear" w:color="auto" w:fill="auto"/>
            <w:noWrap/>
            <w:vAlign w:val="center"/>
            <w:hideMark/>
          </w:tcPr>
          <w:p w14:paraId="78DA5824"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17</w:t>
            </w:r>
          </w:p>
        </w:tc>
        <w:tc>
          <w:tcPr>
            <w:tcW w:w="1179" w:type="dxa"/>
            <w:tcBorders>
              <w:top w:val="nil"/>
              <w:left w:val="nil"/>
              <w:bottom w:val="single" w:sz="4" w:space="0" w:color="auto"/>
              <w:right w:val="single" w:sz="4" w:space="0" w:color="auto"/>
            </w:tcBorders>
            <w:shd w:val="clear" w:color="auto" w:fill="auto"/>
            <w:noWrap/>
            <w:vAlign w:val="center"/>
            <w:hideMark/>
          </w:tcPr>
          <w:p w14:paraId="6B7457A9"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47%</w:t>
            </w:r>
          </w:p>
        </w:tc>
      </w:tr>
      <w:tr w:rsidR="00166E45" w:rsidRPr="007A52CB" w14:paraId="0A13A5FD" w14:textId="77777777" w:rsidTr="00BA1491">
        <w:trPr>
          <w:trHeight w:val="281"/>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4F26ECAE"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4</w:t>
            </w:r>
          </w:p>
        </w:tc>
        <w:tc>
          <w:tcPr>
            <w:tcW w:w="3340" w:type="dxa"/>
            <w:tcBorders>
              <w:top w:val="nil"/>
              <w:left w:val="nil"/>
              <w:bottom w:val="single" w:sz="4" w:space="0" w:color="auto"/>
              <w:right w:val="single" w:sz="4" w:space="0" w:color="auto"/>
            </w:tcBorders>
            <w:shd w:val="clear" w:color="auto" w:fill="auto"/>
            <w:noWrap/>
            <w:vAlign w:val="center"/>
            <w:hideMark/>
          </w:tcPr>
          <w:p w14:paraId="2352AEAC"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Хувиараа бизнес эрхлэгчид</w:t>
            </w:r>
          </w:p>
        </w:tc>
        <w:tc>
          <w:tcPr>
            <w:tcW w:w="1762" w:type="dxa"/>
            <w:tcBorders>
              <w:top w:val="nil"/>
              <w:left w:val="nil"/>
              <w:bottom w:val="single" w:sz="4" w:space="0" w:color="auto"/>
              <w:right w:val="single" w:sz="4" w:space="0" w:color="auto"/>
            </w:tcBorders>
            <w:shd w:val="clear" w:color="auto" w:fill="auto"/>
            <w:noWrap/>
            <w:vAlign w:val="center"/>
            <w:hideMark/>
          </w:tcPr>
          <w:p w14:paraId="3603BFB2"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13</w:t>
            </w:r>
          </w:p>
        </w:tc>
        <w:tc>
          <w:tcPr>
            <w:tcW w:w="1646" w:type="dxa"/>
            <w:tcBorders>
              <w:top w:val="nil"/>
              <w:left w:val="nil"/>
              <w:bottom w:val="single" w:sz="4" w:space="0" w:color="auto"/>
              <w:right w:val="single" w:sz="4" w:space="0" w:color="auto"/>
            </w:tcBorders>
            <w:shd w:val="clear" w:color="auto" w:fill="auto"/>
            <w:noWrap/>
            <w:vAlign w:val="center"/>
            <w:hideMark/>
          </w:tcPr>
          <w:p w14:paraId="48DDE6E1"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21</w:t>
            </w:r>
          </w:p>
        </w:tc>
        <w:tc>
          <w:tcPr>
            <w:tcW w:w="1179" w:type="dxa"/>
            <w:tcBorders>
              <w:top w:val="nil"/>
              <w:left w:val="nil"/>
              <w:bottom w:val="single" w:sz="4" w:space="0" w:color="auto"/>
              <w:right w:val="single" w:sz="4" w:space="0" w:color="auto"/>
            </w:tcBorders>
            <w:shd w:val="clear" w:color="auto" w:fill="auto"/>
            <w:noWrap/>
            <w:vAlign w:val="center"/>
            <w:hideMark/>
          </w:tcPr>
          <w:p w14:paraId="03EF3011" w14:textId="77777777" w:rsidR="00166E45" w:rsidRPr="007A52CB" w:rsidRDefault="00166E45" w:rsidP="00BA1491">
            <w:pPr>
              <w:spacing w:after="0" w:line="240" w:lineRule="auto"/>
              <w:jc w:val="center"/>
              <w:rPr>
                <w:rFonts w:eastAsia="Times New Roman" w:cs="Times New Roman"/>
                <w:color w:val="000000"/>
              </w:rPr>
            </w:pPr>
            <w:r w:rsidRPr="007A52CB">
              <w:rPr>
                <w:rFonts w:eastAsia="Times New Roman" w:cs="Times New Roman"/>
                <w:color w:val="000000"/>
              </w:rPr>
              <w:t>62%</w:t>
            </w:r>
          </w:p>
        </w:tc>
      </w:tr>
      <w:tr w:rsidR="00166E45" w:rsidRPr="007A52CB" w14:paraId="76C50BA0" w14:textId="77777777" w:rsidTr="00BA1491">
        <w:trPr>
          <w:trHeight w:val="281"/>
          <w:jc w:val="center"/>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2ED39C06" w14:textId="77777777" w:rsidR="00166E45" w:rsidRPr="007A52CB" w:rsidRDefault="00166E45" w:rsidP="00BA1491">
            <w:pPr>
              <w:spacing w:after="0" w:line="240" w:lineRule="auto"/>
              <w:rPr>
                <w:rFonts w:eastAsia="Times New Roman" w:cs="Times New Roman"/>
                <w:color w:val="000000"/>
              </w:rPr>
            </w:pPr>
            <w:r w:rsidRPr="007A52CB">
              <w:rPr>
                <w:rFonts w:eastAsia="Times New Roman" w:cs="Times New Roman"/>
                <w:color w:val="000000"/>
              </w:rPr>
              <w:t> </w:t>
            </w:r>
          </w:p>
        </w:tc>
        <w:tc>
          <w:tcPr>
            <w:tcW w:w="3340" w:type="dxa"/>
            <w:tcBorders>
              <w:top w:val="nil"/>
              <w:left w:val="nil"/>
              <w:bottom w:val="single" w:sz="4" w:space="0" w:color="auto"/>
              <w:right w:val="single" w:sz="4" w:space="0" w:color="auto"/>
            </w:tcBorders>
            <w:shd w:val="clear" w:color="auto" w:fill="auto"/>
            <w:noWrap/>
            <w:vAlign w:val="center"/>
            <w:hideMark/>
          </w:tcPr>
          <w:p w14:paraId="0715661A"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Нийт</w:t>
            </w:r>
          </w:p>
        </w:tc>
        <w:tc>
          <w:tcPr>
            <w:tcW w:w="1762" w:type="dxa"/>
            <w:tcBorders>
              <w:top w:val="nil"/>
              <w:left w:val="nil"/>
              <w:bottom w:val="single" w:sz="4" w:space="0" w:color="auto"/>
              <w:right w:val="single" w:sz="4" w:space="0" w:color="auto"/>
            </w:tcBorders>
            <w:shd w:val="clear" w:color="auto" w:fill="auto"/>
            <w:noWrap/>
            <w:vAlign w:val="center"/>
            <w:hideMark/>
          </w:tcPr>
          <w:p w14:paraId="5AFAB7B4"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42</w:t>
            </w:r>
          </w:p>
        </w:tc>
        <w:tc>
          <w:tcPr>
            <w:tcW w:w="1646" w:type="dxa"/>
            <w:tcBorders>
              <w:top w:val="nil"/>
              <w:left w:val="nil"/>
              <w:bottom w:val="single" w:sz="4" w:space="0" w:color="auto"/>
              <w:right w:val="single" w:sz="4" w:space="0" w:color="auto"/>
            </w:tcBorders>
            <w:shd w:val="clear" w:color="auto" w:fill="auto"/>
            <w:noWrap/>
            <w:vAlign w:val="center"/>
            <w:hideMark/>
          </w:tcPr>
          <w:p w14:paraId="5F666070"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66</w:t>
            </w:r>
          </w:p>
        </w:tc>
        <w:tc>
          <w:tcPr>
            <w:tcW w:w="1179" w:type="dxa"/>
            <w:tcBorders>
              <w:top w:val="nil"/>
              <w:left w:val="nil"/>
              <w:bottom w:val="single" w:sz="4" w:space="0" w:color="auto"/>
              <w:right w:val="single" w:sz="4" w:space="0" w:color="auto"/>
            </w:tcBorders>
            <w:shd w:val="clear" w:color="auto" w:fill="auto"/>
            <w:noWrap/>
            <w:vAlign w:val="center"/>
            <w:hideMark/>
          </w:tcPr>
          <w:p w14:paraId="758E7FAD" w14:textId="77777777" w:rsidR="00166E45" w:rsidRPr="007A52CB" w:rsidRDefault="00166E45" w:rsidP="00BA1491">
            <w:pPr>
              <w:spacing w:after="0" w:line="240" w:lineRule="auto"/>
              <w:jc w:val="center"/>
              <w:rPr>
                <w:rFonts w:eastAsia="Times New Roman" w:cs="Times New Roman"/>
                <w:b/>
                <w:bCs/>
                <w:color w:val="000000"/>
              </w:rPr>
            </w:pPr>
            <w:r w:rsidRPr="007A52CB">
              <w:rPr>
                <w:rFonts w:eastAsia="Times New Roman" w:cs="Times New Roman"/>
                <w:b/>
                <w:bCs/>
                <w:color w:val="000000"/>
              </w:rPr>
              <w:t>64%</w:t>
            </w:r>
          </w:p>
        </w:tc>
      </w:tr>
    </w:tbl>
    <w:p w14:paraId="005BFC07" w14:textId="77777777" w:rsidR="00166E45" w:rsidRPr="007A52CB" w:rsidRDefault="00166E45" w:rsidP="00166E45">
      <w:pPr>
        <w:rPr>
          <w:rFonts w:cs="Times New Roman"/>
        </w:rPr>
      </w:pPr>
    </w:p>
    <w:p w14:paraId="63E0589B" w14:textId="0EE121F9" w:rsidR="00166E45" w:rsidRPr="007A52CB" w:rsidRDefault="00166E45" w:rsidP="00166E45">
      <w:pPr>
        <w:spacing w:line="276" w:lineRule="auto"/>
        <w:rPr>
          <w:rFonts w:cs="Times New Roman"/>
        </w:rPr>
      </w:pPr>
      <w:r w:rsidRPr="007A52CB">
        <w:rPr>
          <w:rFonts w:cs="Times New Roman"/>
        </w:rPr>
        <w:t>Хэлэлцүүлгийн үеэр хувиараа бизнес эрхлэгчид болон зарим холбоодын төлөөлөл хөтөлбөрийг зохион байгуулагчдаас асуулт асууж, зарим санал, шүүмжээ илэрхийлсэн. Нийт 9 хүн санал, хүсэлтээ илэрхийлэн, тодруулга асуулт асуусан нь нийт оролцогчдын 21% байв (Хэлэлцүүлэгт оролцогчдын дэлгэрэнгүй бүртгэлийг Хавсралт 1-ээс үзнэ үү).</w:t>
      </w:r>
    </w:p>
    <w:p w14:paraId="1C9FDF85" w14:textId="3501C789" w:rsidR="00417A54" w:rsidRPr="007A52CB" w:rsidRDefault="007B6FBA" w:rsidP="00166E45">
      <w:pPr>
        <w:spacing w:line="276" w:lineRule="auto"/>
        <w:rPr>
          <w:rFonts w:cs="Times New Roman"/>
        </w:rPr>
      </w:pPr>
      <w:r w:rsidRPr="007A52CB">
        <w:rPr>
          <w:rFonts w:cs="Times New Roman"/>
        </w:rPr>
        <w:t>Хэлэлцүүлгийн хөтөлбөрийг анх төлөвлөхдөө</w:t>
      </w:r>
      <w:r w:rsidR="00417A54" w:rsidRPr="007A52CB">
        <w:rPr>
          <w:rFonts w:cs="Times New Roman"/>
        </w:rPr>
        <w:t xml:space="preserve"> 3</w:t>
      </w:r>
      <w:r w:rsidRPr="007A52CB">
        <w:rPr>
          <w:rFonts w:cs="Times New Roman"/>
        </w:rPr>
        <w:t xml:space="preserve"> </w:t>
      </w:r>
      <w:r w:rsidR="00417A54" w:rsidRPr="007A52CB">
        <w:rPr>
          <w:rFonts w:cs="Times New Roman"/>
        </w:rPr>
        <w:t xml:space="preserve">дэд сэдвээр </w:t>
      </w:r>
      <w:proofErr w:type="spellStart"/>
      <w:r w:rsidR="00417A54" w:rsidRPr="007A52CB">
        <w:rPr>
          <w:rFonts w:cs="Times New Roman"/>
        </w:rPr>
        <w:t>панел</w:t>
      </w:r>
      <w:proofErr w:type="spellEnd"/>
      <w:r w:rsidR="00417A54" w:rsidRPr="007A52CB">
        <w:rPr>
          <w:rFonts w:cs="Times New Roman"/>
        </w:rPr>
        <w:t xml:space="preserve"> хэлэлцүүлэг хийхээр зорьсон. Үүнд, “Ажлын байрыг дэмжих зээл ба жижиг дунд бизнес”, “10 их наядын цогц төлөвлөгөө ба банкны салбарын оролцоо”, “10 их наядын цогц төлөвлөгөө ба ХАА, томоохон үйлдвэрлэл, үйлчилгээ эрхлэгчид” гэсэн сэдвийг сонгож, гол төлөв цогц төлөвлөгөөний хэрэгжилтэд оролцсон төрийн байгууллагуудын мэдээлэл, байр суурийг түлхүү сонсох сонирхолтой байсан. Гэвч дэд сэдэв бүрд </w:t>
      </w:r>
      <w:proofErr w:type="spellStart"/>
      <w:r w:rsidR="00417A54" w:rsidRPr="007A52CB">
        <w:rPr>
          <w:rFonts w:cs="Times New Roman"/>
        </w:rPr>
        <w:t>панелистаар</w:t>
      </w:r>
      <w:proofErr w:type="spellEnd"/>
      <w:r w:rsidR="00417A54" w:rsidRPr="007A52CB">
        <w:rPr>
          <w:rFonts w:cs="Times New Roman"/>
        </w:rPr>
        <w:t xml:space="preserve"> оруулахаар урьсан төрийн байгууллагууд </w:t>
      </w:r>
      <w:proofErr w:type="spellStart"/>
      <w:r w:rsidR="00417A54" w:rsidRPr="007A52CB">
        <w:rPr>
          <w:rFonts w:cs="Times New Roman"/>
        </w:rPr>
        <w:t>панел</w:t>
      </w:r>
      <w:proofErr w:type="spellEnd"/>
      <w:r w:rsidR="00417A54" w:rsidRPr="007A52CB">
        <w:rPr>
          <w:rFonts w:cs="Times New Roman"/>
        </w:rPr>
        <w:t xml:space="preserve"> хэлбэрээр оролцохоос татгалзаж, мэдээлэл танилцуулга хийх болон ердийн асуулт хариулт хэлбэрээр оролцох боломжтойгоо илэрхийлсэн. </w:t>
      </w:r>
      <w:r w:rsidR="00396AEA" w:rsidRPr="007A52CB">
        <w:rPr>
          <w:rFonts w:cs="Times New Roman"/>
        </w:rPr>
        <w:t>10 их наядын цогц төлөвлөгөөг хэрэгжилтэд оролцсон төрийн байгууллагууд, арилжааны банкнууд</w:t>
      </w:r>
      <w:r w:rsidR="00B40E0E" w:rsidRPr="007A52CB">
        <w:rPr>
          <w:rFonts w:cs="Times New Roman"/>
        </w:rPr>
        <w:t xml:space="preserve"> хэвлэл мэдээллийн хэрэгслээр гарах, олон нийтийн шүүмжлэлд өртөхөөс болгоомжилж хэлэлцүүлэгт орохоос татгалзах байдал ажиглагдсан. </w:t>
      </w:r>
      <w:r w:rsidR="00385705" w:rsidRPr="007A52CB">
        <w:rPr>
          <w:rFonts w:cs="Times New Roman"/>
        </w:rPr>
        <w:t>Мөн ихэнх байгууллага удирдах албан тушаалтнаа биш, мэргэжилтнүүдээ хэлэлцүүлэгт оролцуулах хариу өгсөн.</w:t>
      </w:r>
      <w:r w:rsidR="00B40E0E" w:rsidRPr="007A52CB">
        <w:rPr>
          <w:rFonts w:cs="Times New Roman"/>
        </w:rPr>
        <w:t xml:space="preserve"> </w:t>
      </w:r>
    </w:p>
    <w:p w14:paraId="6DE10786" w14:textId="32B25354" w:rsidR="00166E45" w:rsidRPr="007A52CB" w:rsidRDefault="00417A54" w:rsidP="00166E45">
      <w:pPr>
        <w:spacing w:line="276" w:lineRule="auto"/>
        <w:rPr>
          <w:rFonts w:cs="Times New Roman"/>
        </w:rPr>
      </w:pPr>
      <w:r w:rsidRPr="007A52CB">
        <w:rPr>
          <w:rFonts w:cs="Times New Roman"/>
        </w:rPr>
        <w:t xml:space="preserve">Иймээс хэлэлцүүлгийн дараалал, форматыг өөрчилж, “Ажлын байрыг дэмжих зээл ба жижиг дунд бизнес”, “10 их наядын цогц төлөвлөгөө ба банкны салбарын оролцоо” гэсэн хоёр дэд сэдвийн хүрээнд 5 байгууллагын төлөөлөл танилцуулга хийж, </w:t>
      </w:r>
      <w:proofErr w:type="spellStart"/>
      <w:r w:rsidRPr="007A52CB">
        <w:rPr>
          <w:rFonts w:cs="Times New Roman"/>
        </w:rPr>
        <w:t>модератор</w:t>
      </w:r>
      <w:proofErr w:type="spellEnd"/>
      <w:r w:rsidRPr="007A52CB">
        <w:rPr>
          <w:rFonts w:cs="Times New Roman"/>
        </w:rPr>
        <w:t xml:space="preserve"> </w:t>
      </w:r>
      <w:r w:rsidR="00E24CA9" w:rsidRPr="007A52CB">
        <w:rPr>
          <w:rFonts w:cs="Times New Roman"/>
        </w:rPr>
        <w:t xml:space="preserve">хоёр </w:t>
      </w:r>
      <w:r w:rsidRPr="007A52CB">
        <w:rPr>
          <w:rFonts w:cs="Times New Roman"/>
        </w:rPr>
        <w:t>хэлэлцүүлгийг ердийн асуулт хариултын хэлбэрээр удирдан явуулсан. Хэлэлцүүлгийн шинэчилсэн хөтөлбөрийг Хавсралт 2-оос үзнэ үү</w:t>
      </w:r>
      <w:r w:rsidR="00396AEA" w:rsidRPr="007A52CB">
        <w:rPr>
          <w:rFonts w:cs="Times New Roman"/>
        </w:rPr>
        <w:t>.</w:t>
      </w:r>
    </w:p>
    <w:p w14:paraId="7E338F69" w14:textId="122BE5EC" w:rsidR="00396AEA" w:rsidRPr="007A52CB" w:rsidRDefault="00396AEA" w:rsidP="00166E45">
      <w:pPr>
        <w:spacing w:line="276" w:lineRule="auto"/>
        <w:rPr>
          <w:rFonts w:cs="Times New Roman"/>
        </w:rPr>
      </w:pPr>
      <w:r w:rsidRPr="007A52CB">
        <w:rPr>
          <w:rFonts w:cs="Times New Roman"/>
        </w:rPr>
        <w:t xml:space="preserve">Хэлэлцүүлгийн </w:t>
      </w:r>
      <w:proofErr w:type="spellStart"/>
      <w:r w:rsidRPr="007A52CB">
        <w:rPr>
          <w:rFonts w:cs="Times New Roman"/>
        </w:rPr>
        <w:t>модератороор</w:t>
      </w:r>
      <w:proofErr w:type="spellEnd"/>
      <w:r w:rsidRPr="007A52CB">
        <w:rPr>
          <w:rFonts w:cs="Times New Roman"/>
        </w:rPr>
        <w:t xml:space="preserve"> эдийн засагч Д.Жаргалсайхан ажиллав. </w:t>
      </w:r>
    </w:p>
    <w:p w14:paraId="07F08D40" w14:textId="4F561DAA" w:rsidR="00D76C4E" w:rsidRPr="007A52CB" w:rsidRDefault="00D76C4E" w:rsidP="00D76C4E">
      <w:pPr>
        <w:pStyle w:val="Heading1"/>
        <w:numPr>
          <w:ilvl w:val="0"/>
          <w:numId w:val="2"/>
        </w:numPr>
      </w:pPr>
      <w:bookmarkStart w:id="2" w:name="_Toc107050569"/>
      <w:r w:rsidRPr="007A52CB">
        <w:lastRenderedPageBreak/>
        <w:t>Хэлэлцүүлгээр хөндсөн асуудлууд</w:t>
      </w:r>
      <w:bookmarkEnd w:id="2"/>
    </w:p>
    <w:p w14:paraId="2A9A0E1E" w14:textId="71268642" w:rsidR="00EA49B5" w:rsidRPr="007A52CB" w:rsidRDefault="00C90899" w:rsidP="00D76C4E">
      <w:pPr>
        <w:rPr>
          <w:rFonts w:eastAsia="Times New Roman" w:cs="Times New Roman"/>
        </w:rPr>
      </w:pPr>
      <w:r w:rsidRPr="007A52CB">
        <w:rPr>
          <w:rFonts w:eastAsia="Times New Roman" w:cs="Times New Roman"/>
        </w:rPr>
        <w:t xml:space="preserve">Хэлэлцүүлгийн эхэнд “Хөгжлийн шийдэл” ТББ-ын ерөнхий менежер Л.Төгсбаяр  өөрсдийн хэрэгжүүлж буй BEST хөтөлбөр, түүний хүрээнд хэрэгжүүлж буй </w:t>
      </w:r>
      <w:proofErr w:type="spellStart"/>
      <w:r w:rsidRPr="007A52CB">
        <w:rPr>
          <w:rFonts w:eastAsia="Times New Roman" w:cs="Times New Roman"/>
        </w:rPr>
        <w:t>ЖДБ</w:t>
      </w:r>
      <w:proofErr w:type="spellEnd"/>
      <w:r w:rsidRPr="007A52CB">
        <w:rPr>
          <w:rFonts w:eastAsia="Times New Roman" w:cs="Times New Roman"/>
        </w:rPr>
        <w:t xml:space="preserve"> салбарыг дэмжих үйл ажиллагаагаа танилцуулсан. Хөтөлбөрийн дагуу хэлэлцүүлэгт 5 байгууллага холбогдох танилцуулга бэлтгэж илтгэл тавьсан. </w:t>
      </w:r>
      <w:r w:rsidR="00EA49B5" w:rsidRPr="007A52CB">
        <w:rPr>
          <w:rFonts w:eastAsia="Times New Roman" w:cs="Times New Roman"/>
        </w:rPr>
        <w:t>Илтгэлүүдийн гол агуулгыг эхлээд товч дурдъя. Илтгэлүүдийг бүрэн эхээр нь Хавсралт 3-аас үзнэ үү.</w:t>
      </w:r>
    </w:p>
    <w:p w14:paraId="4E2AC175" w14:textId="38EAD035" w:rsidR="009B719E" w:rsidRPr="007A52CB" w:rsidRDefault="00ED7D12" w:rsidP="00D76C4E">
      <w:pPr>
        <w:rPr>
          <w:rFonts w:cs="Times New Roman"/>
        </w:rPr>
      </w:pPr>
      <w:r w:rsidRPr="007A52CB">
        <w:rPr>
          <w:rFonts w:eastAsia="Times New Roman" w:cs="Times New Roman"/>
        </w:rPr>
        <w:t xml:space="preserve">Эхний </w:t>
      </w:r>
      <w:r w:rsidR="00EA49B5" w:rsidRPr="007A52CB">
        <w:rPr>
          <w:rFonts w:eastAsia="Times New Roman" w:cs="Times New Roman"/>
        </w:rPr>
        <w:t>илтгэлий</w:t>
      </w:r>
      <w:r w:rsidRPr="007A52CB">
        <w:rPr>
          <w:rFonts w:eastAsia="Times New Roman" w:cs="Times New Roman"/>
        </w:rPr>
        <w:t>г ЭЗСЭШХ</w:t>
      </w:r>
      <w:r w:rsidR="00EA49B5" w:rsidRPr="007A52CB">
        <w:rPr>
          <w:rFonts w:eastAsia="Times New Roman" w:cs="Times New Roman"/>
        </w:rPr>
        <w:t>-ийн ахлах судлаач З.Манлайбаатар</w:t>
      </w:r>
      <w:r w:rsidRPr="007A52CB">
        <w:rPr>
          <w:rFonts w:eastAsia="Times New Roman" w:cs="Times New Roman"/>
        </w:rPr>
        <w:t xml:space="preserve"> </w:t>
      </w:r>
      <w:r w:rsidR="00EA49B5" w:rsidRPr="007A52CB">
        <w:rPr>
          <w:rFonts w:eastAsia="Times New Roman" w:cs="Times New Roman"/>
        </w:rPr>
        <w:t>“</w:t>
      </w:r>
      <w:r w:rsidR="00EA49B5" w:rsidRPr="007A52CB">
        <w:rPr>
          <w:rFonts w:cs="Times New Roman"/>
        </w:rPr>
        <w:t>Эдийн засгаа эрчимжүүлэх хөтөлбөр буюу 10 их наядын цогц төлөвлөгөөний хувийн секторын үр нөлөө, сургамжийн талаарх тойм судалгаа” сэдвээр хийсэн. Энд тус цогц төлөвлөгөөний хүрээнд олгосон хөнгөлөлттэй зээлийн хөтөлбөрүүдийн хамрах хүрээ, хэрэгжилтийг 2021 оны 8-р сарын байдлаар танилцуулж, цогц төлөвлөгөөний хэрэгжилт, үр дүнгийн талаар бусад байгууллагын хийсэн үнэлгээг нэгтгэн тоймлосон. Мөн цогц төлөвлөгөөний арга хэмжээнээс үүдэж макро эдийн засгийн үзүүлэлтүүдэд гарсан байж болох өөрчлөлтүүдийн талаарх таамаглалыг дэвшүүлсэн.</w:t>
      </w:r>
    </w:p>
    <w:p w14:paraId="367EE3CF" w14:textId="34A25304" w:rsidR="00EA49B5" w:rsidRPr="007A52CB" w:rsidRDefault="00EA49B5" w:rsidP="00D76C4E">
      <w:pPr>
        <w:rPr>
          <w:rFonts w:cs="Times New Roman"/>
        </w:rPr>
      </w:pPr>
      <w:r w:rsidRPr="007A52CB">
        <w:rPr>
          <w:rFonts w:cs="Times New Roman"/>
        </w:rPr>
        <w:t xml:space="preserve">Хоёр дахь илтгэлийг </w:t>
      </w:r>
      <w:proofErr w:type="spellStart"/>
      <w:r w:rsidRPr="007A52CB">
        <w:rPr>
          <w:rFonts w:cs="Times New Roman"/>
        </w:rPr>
        <w:t>ЖДҮГ</w:t>
      </w:r>
      <w:proofErr w:type="spellEnd"/>
      <w:r w:rsidRPr="007A52CB">
        <w:rPr>
          <w:rFonts w:cs="Times New Roman"/>
        </w:rPr>
        <w:t xml:space="preserve">-ын Бодлого зохицуулалтын хэлтсийн дарга А.Гэрэлзаяа “Цар тахлын үеийн </w:t>
      </w:r>
      <w:proofErr w:type="spellStart"/>
      <w:r w:rsidRPr="007A52CB">
        <w:rPr>
          <w:rFonts w:cs="Times New Roman"/>
        </w:rPr>
        <w:t>ЖДҮГ</w:t>
      </w:r>
      <w:proofErr w:type="spellEnd"/>
      <w:r w:rsidRPr="007A52CB">
        <w:rPr>
          <w:rFonts w:cs="Times New Roman"/>
        </w:rPr>
        <w:t>-аас авч хэрэгжүүлсэн арга хэмжээ, үр нөлөө” сэдвээр тавьсан.</w:t>
      </w:r>
      <w:r w:rsidR="00B60590" w:rsidRPr="007A52CB">
        <w:rPr>
          <w:rFonts w:cs="Times New Roman"/>
        </w:rPr>
        <w:t xml:space="preserve"> Илтгэлд </w:t>
      </w:r>
      <w:proofErr w:type="spellStart"/>
      <w:r w:rsidR="00B60590" w:rsidRPr="007A52CB">
        <w:rPr>
          <w:rFonts w:cs="Times New Roman"/>
        </w:rPr>
        <w:t>ЖДҮҮ</w:t>
      </w:r>
      <w:proofErr w:type="spellEnd"/>
      <w:r w:rsidR="00B60590" w:rsidRPr="007A52CB">
        <w:rPr>
          <w:rFonts w:cs="Times New Roman"/>
        </w:rPr>
        <w:t xml:space="preserve">-ний салбарын хууль эрх зүйн орчин, төрөөс дэмжих бодлогын чиглэл, </w:t>
      </w:r>
      <w:proofErr w:type="spellStart"/>
      <w:r w:rsidR="00B60590" w:rsidRPr="007A52CB">
        <w:rPr>
          <w:rFonts w:cs="Times New Roman"/>
        </w:rPr>
        <w:t>Ковидын</w:t>
      </w:r>
      <w:proofErr w:type="spellEnd"/>
      <w:r w:rsidR="00B60590" w:rsidRPr="007A52CB">
        <w:rPr>
          <w:rFonts w:cs="Times New Roman"/>
        </w:rPr>
        <w:t xml:space="preserve"> үед тус салбарт төрөөс хэрэгжүүлсэн арга хэмжээ, 10 их наяд цогц төлөвлөгөөний хүрээнд Ажлын байрыг дэмжих 2 их наяд төгрөгийн зээлийн статистик, </w:t>
      </w:r>
      <w:proofErr w:type="spellStart"/>
      <w:r w:rsidR="00B60590" w:rsidRPr="007A52CB">
        <w:rPr>
          <w:rFonts w:cs="Times New Roman"/>
        </w:rPr>
        <w:t>ЖДҮ</w:t>
      </w:r>
      <w:proofErr w:type="spellEnd"/>
      <w:r w:rsidR="00B60590" w:rsidRPr="007A52CB">
        <w:rPr>
          <w:rFonts w:cs="Times New Roman"/>
        </w:rPr>
        <w:t xml:space="preserve"> Хөгжүүлэх Сангийн 2009-2020 оны зээл олголт</w:t>
      </w:r>
      <w:r w:rsidR="00C90899" w:rsidRPr="007A52CB">
        <w:rPr>
          <w:rFonts w:cs="Times New Roman"/>
        </w:rPr>
        <w:t xml:space="preserve">ын талаар мэдээлэл өгч, </w:t>
      </w:r>
      <w:proofErr w:type="spellStart"/>
      <w:r w:rsidR="00C90899" w:rsidRPr="007A52CB">
        <w:rPr>
          <w:rFonts w:cs="Times New Roman"/>
        </w:rPr>
        <w:t>ЖДҮГ</w:t>
      </w:r>
      <w:proofErr w:type="spellEnd"/>
      <w:r w:rsidR="00C90899" w:rsidRPr="007A52CB">
        <w:rPr>
          <w:rFonts w:cs="Times New Roman"/>
        </w:rPr>
        <w:t>-аас энэ чиглэлд хэрэгжүүлж буй сүүлийн үеийн ажлаасаа танилцуулав.</w:t>
      </w:r>
    </w:p>
    <w:p w14:paraId="50EA5CFA" w14:textId="7C9D64D9" w:rsidR="00EA49B5" w:rsidRPr="007A52CB" w:rsidRDefault="00EA49B5" w:rsidP="00D76C4E">
      <w:pPr>
        <w:rPr>
          <w:rFonts w:cs="Times New Roman"/>
        </w:rPr>
      </w:pPr>
      <w:r w:rsidRPr="007A52CB">
        <w:rPr>
          <w:rFonts w:cs="Times New Roman"/>
        </w:rPr>
        <w:t>Гурав дахь</w:t>
      </w:r>
      <w:r w:rsidR="00C90899" w:rsidRPr="007A52CB">
        <w:rPr>
          <w:rFonts w:cs="Times New Roman"/>
        </w:rPr>
        <w:t xml:space="preserve"> илтгэлийг Нийслэлийн </w:t>
      </w:r>
      <w:proofErr w:type="spellStart"/>
      <w:r w:rsidR="00882972" w:rsidRPr="007A52CB">
        <w:rPr>
          <w:rFonts w:cs="Times New Roman"/>
        </w:rPr>
        <w:t>ЖДҮҮДТ</w:t>
      </w:r>
      <w:proofErr w:type="spellEnd"/>
      <w:r w:rsidR="00882972" w:rsidRPr="007A52CB">
        <w:rPr>
          <w:rFonts w:cs="Times New Roman"/>
        </w:rPr>
        <w:t xml:space="preserve"> </w:t>
      </w:r>
      <w:proofErr w:type="spellStart"/>
      <w:r w:rsidR="00882972" w:rsidRPr="007A52CB">
        <w:rPr>
          <w:rFonts w:cs="Times New Roman"/>
        </w:rPr>
        <w:t>НӨҮГ</w:t>
      </w:r>
      <w:proofErr w:type="spellEnd"/>
      <w:r w:rsidR="00882972" w:rsidRPr="007A52CB">
        <w:rPr>
          <w:rFonts w:cs="Times New Roman"/>
        </w:rPr>
        <w:t xml:space="preserve">-ын Төсөл хөтөлбөр, </w:t>
      </w:r>
      <w:proofErr w:type="spellStart"/>
      <w:r w:rsidR="00882972" w:rsidRPr="007A52CB">
        <w:rPr>
          <w:rFonts w:cs="Times New Roman"/>
        </w:rPr>
        <w:t>инновацийн</w:t>
      </w:r>
      <w:proofErr w:type="spellEnd"/>
      <w:r w:rsidR="00882972" w:rsidRPr="007A52CB">
        <w:rPr>
          <w:rFonts w:cs="Times New Roman"/>
        </w:rPr>
        <w:t xml:space="preserve"> хэлтсийн дарга М.Мөнхжаргал “Цар тахлын үеийн нийслэлийн </w:t>
      </w:r>
      <w:proofErr w:type="spellStart"/>
      <w:r w:rsidR="00882972" w:rsidRPr="007A52CB">
        <w:rPr>
          <w:rFonts w:cs="Times New Roman"/>
        </w:rPr>
        <w:t>ЖДҮҮ</w:t>
      </w:r>
      <w:proofErr w:type="spellEnd"/>
      <w:r w:rsidR="00882972" w:rsidRPr="007A52CB">
        <w:rPr>
          <w:rFonts w:cs="Times New Roman"/>
        </w:rPr>
        <w:t xml:space="preserve">-ний салбарын нөхцөл байдал, авч хэрэгжүүлсэн арга хэмжээ” сэдэвт илтгэл танилцуулсан. Илтгэлд нийслэлд үйл ажиллагаа явуулж буй </w:t>
      </w:r>
      <w:proofErr w:type="spellStart"/>
      <w:r w:rsidR="00882972" w:rsidRPr="007A52CB">
        <w:rPr>
          <w:rFonts w:cs="Times New Roman"/>
        </w:rPr>
        <w:t>ЖДҮҮ</w:t>
      </w:r>
      <w:proofErr w:type="spellEnd"/>
      <w:r w:rsidR="00882972" w:rsidRPr="007A52CB">
        <w:rPr>
          <w:rFonts w:cs="Times New Roman"/>
        </w:rPr>
        <w:t xml:space="preserve">-ний салбарын ерөнхий статистик мэдээ, тус төвийн хэрэгжүүлж буй үйл ажиллагааг танилцуулснаас гадна, 2021 оны </w:t>
      </w:r>
      <w:r w:rsidR="0081129B" w:rsidRPr="007A52CB">
        <w:rPr>
          <w:rFonts w:cs="Times New Roman"/>
        </w:rPr>
        <w:t>4-</w:t>
      </w:r>
      <w:r w:rsidR="00882972" w:rsidRPr="007A52CB">
        <w:rPr>
          <w:rFonts w:cs="Times New Roman"/>
        </w:rPr>
        <w:t xml:space="preserve">5-р сард гүйцэтгэсэн цар тахлын үеийн нийслэлийн </w:t>
      </w:r>
      <w:proofErr w:type="spellStart"/>
      <w:r w:rsidR="00882972" w:rsidRPr="007A52CB">
        <w:rPr>
          <w:rFonts w:cs="Times New Roman"/>
        </w:rPr>
        <w:t>ЖДҮҮ</w:t>
      </w:r>
      <w:proofErr w:type="spellEnd"/>
      <w:r w:rsidR="00882972" w:rsidRPr="007A52CB">
        <w:rPr>
          <w:rFonts w:cs="Times New Roman"/>
        </w:rPr>
        <w:t xml:space="preserve"> эрхлэгчдийн нөхцөл байдлын талаарх түүвэр судалгааны үр дүнгээс хуваалцсан. </w:t>
      </w:r>
    </w:p>
    <w:p w14:paraId="72F686F6" w14:textId="77777777" w:rsidR="0081129B" w:rsidRPr="007A52CB" w:rsidRDefault="0081129B" w:rsidP="00D76C4E">
      <w:pPr>
        <w:rPr>
          <w:rFonts w:cs="Times New Roman"/>
        </w:rPr>
      </w:pPr>
      <w:r w:rsidRPr="007A52CB">
        <w:rPr>
          <w:rFonts w:cs="Times New Roman"/>
        </w:rPr>
        <w:t xml:space="preserve">Дөрөв дэх илтгэлийг </w:t>
      </w:r>
      <w:proofErr w:type="spellStart"/>
      <w:r w:rsidRPr="007A52CB">
        <w:rPr>
          <w:rFonts w:cs="Times New Roman"/>
        </w:rPr>
        <w:t>Монголбанкны</w:t>
      </w:r>
      <w:proofErr w:type="spellEnd"/>
      <w:r w:rsidRPr="007A52CB">
        <w:rPr>
          <w:rFonts w:cs="Times New Roman"/>
        </w:rPr>
        <w:t xml:space="preserve"> Судалгааны хэлтсийн захирал Б.</w:t>
      </w:r>
      <w:proofErr w:type="spellStart"/>
      <w:r w:rsidRPr="007A52CB">
        <w:rPr>
          <w:rFonts w:cs="Times New Roman"/>
        </w:rPr>
        <w:t>Дуламзаяа</w:t>
      </w:r>
      <w:proofErr w:type="spellEnd"/>
      <w:r w:rsidRPr="007A52CB">
        <w:rPr>
          <w:rFonts w:cs="Times New Roman"/>
        </w:rPr>
        <w:t xml:space="preserve"> “Эдийн засгаа сэргээх 10 их наядын цогц төлөвлөгөөний хэрэгжилт, үр дүн-2021” илтгэлийг танилцуулсан. Илтгэлд уг цогц төлөвлөгөөний зээл, санхүүжилтийн арга хэмжээний 2021 оны эцсийн байдлаарх хэрэгжилтийг зээлийн хөтөлбөр тус бүрээр нарийвчлан танилцуулсан. Мөн тус цогц төлөвлөгөө хэрэгжихийн өмнөх ба дараах үеийн эдийн засгийн нөхцөл байдлыг харьцуулж, тус төлөвлөгөөний эдийн засагт үзүүлсэн нөлөөллийн талаарх </w:t>
      </w:r>
      <w:proofErr w:type="spellStart"/>
      <w:r w:rsidRPr="007A52CB">
        <w:rPr>
          <w:rFonts w:cs="Times New Roman"/>
        </w:rPr>
        <w:t>Монголбанкны</w:t>
      </w:r>
      <w:proofErr w:type="spellEnd"/>
      <w:r w:rsidRPr="007A52CB">
        <w:rPr>
          <w:rFonts w:cs="Times New Roman"/>
        </w:rPr>
        <w:t xml:space="preserve"> судлаачдын хийсэн үнэлгээ дүгнэлтийг хүргэсэн.</w:t>
      </w:r>
    </w:p>
    <w:p w14:paraId="3D32CA93" w14:textId="6A22B42C" w:rsidR="0081129B" w:rsidRPr="007A52CB" w:rsidRDefault="008B7188" w:rsidP="00D76C4E">
      <w:pPr>
        <w:rPr>
          <w:rFonts w:eastAsia="Times New Roman" w:cs="Times New Roman"/>
        </w:rPr>
      </w:pPr>
      <w:r w:rsidRPr="007A52CB">
        <w:rPr>
          <w:rFonts w:cs="Times New Roman"/>
        </w:rPr>
        <w:t xml:space="preserve">Тав дахь илтгэлийг </w:t>
      </w:r>
      <w:proofErr w:type="spellStart"/>
      <w:r w:rsidR="000A701C" w:rsidRPr="007A52CB">
        <w:rPr>
          <w:rFonts w:cs="Times New Roman"/>
        </w:rPr>
        <w:t>ЗБДС</w:t>
      </w:r>
      <w:proofErr w:type="spellEnd"/>
      <w:r w:rsidR="000A701C" w:rsidRPr="007A52CB">
        <w:rPr>
          <w:rFonts w:cs="Times New Roman"/>
        </w:rPr>
        <w:t>-ийн</w:t>
      </w:r>
      <w:r w:rsidRPr="007A52CB">
        <w:rPr>
          <w:rFonts w:cs="Times New Roman"/>
        </w:rPr>
        <w:t xml:space="preserve"> </w:t>
      </w:r>
      <w:r w:rsidR="000A701C" w:rsidRPr="007A52CB">
        <w:rPr>
          <w:rFonts w:cs="Times New Roman"/>
        </w:rPr>
        <w:t xml:space="preserve">ахлах </w:t>
      </w:r>
      <w:r w:rsidRPr="007A52CB">
        <w:rPr>
          <w:rFonts w:cs="Times New Roman"/>
        </w:rPr>
        <w:t xml:space="preserve">мэргэжилтэн </w:t>
      </w:r>
      <w:r w:rsidR="000A701C" w:rsidRPr="007A52CB">
        <w:rPr>
          <w:rFonts w:cs="Times New Roman"/>
        </w:rPr>
        <w:t xml:space="preserve">М.Баярмаа “Зээлийн батлан даалтын сангийн үйл ажиллагааны танилцуулга” илтгэл тавьсан. </w:t>
      </w:r>
    </w:p>
    <w:p w14:paraId="36A9D52A" w14:textId="2E0FCCC0" w:rsidR="000A5A4A" w:rsidRPr="007A52CB" w:rsidRDefault="00B43D8C" w:rsidP="00D76C4E">
      <w:pPr>
        <w:rPr>
          <w:rFonts w:eastAsia="Times New Roman" w:cs="Times New Roman"/>
        </w:rPr>
      </w:pPr>
      <w:r w:rsidRPr="007A52CB">
        <w:rPr>
          <w:rFonts w:eastAsia="Times New Roman" w:cs="Times New Roman"/>
        </w:rPr>
        <w:t>Э</w:t>
      </w:r>
      <w:r w:rsidR="00577347" w:rsidRPr="007A52CB">
        <w:rPr>
          <w:rFonts w:eastAsia="Times New Roman" w:cs="Times New Roman"/>
        </w:rPr>
        <w:t>дгээр</w:t>
      </w:r>
      <w:r w:rsidRPr="007A52CB">
        <w:rPr>
          <w:rFonts w:eastAsia="Times New Roman" w:cs="Times New Roman"/>
        </w:rPr>
        <w:t xml:space="preserve"> илтгэлийн д</w:t>
      </w:r>
      <w:r w:rsidR="00577347" w:rsidRPr="007A52CB">
        <w:rPr>
          <w:rFonts w:eastAsia="Times New Roman" w:cs="Times New Roman"/>
        </w:rPr>
        <w:t>ундуур</w:t>
      </w:r>
      <w:r w:rsidRPr="007A52CB">
        <w:rPr>
          <w:rFonts w:eastAsia="Times New Roman" w:cs="Times New Roman"/>
        </w:rPr>
        <w:t xml:space="preserve"> “Ажлын байрыг дэмжих зээл ба жижиг дунд бизнес”</w:t>
      </w:r>
      <w:r w:rsidR="00577347" w:rsidRPr="007A52CB">
        <w:rPr>
          <w:rFonts w:eastAsia="Times New Roman" w:cs="Times New Roman"/>
        </w:rPr>
        <w:t>, “10 их наядын цогц төлөвлөгөө ба банкны оролцоо”</w:t>
      </w:r>
      <w:r w:rsidRPr="007A52CB">
        <w:rPr>
          <w:rFonts w:eastAsia="Times New Roman" w:cs="Times New Roman"/>
        </w:rPr>
        <w:t xml:space="preserve"> сэдэвт хэлэлцүүлгийг </w:t>
      </w:r>
      <w:proofErr w:type="spellStart"/>
      <w:r w:rsidRPr="007A52CB">
        <w:rPr>
          <w:rFonts w:eastAsia="Times New Roman" w:cs="Times New Roman"/>
        </w:rPr>
        <w:t>модератор</w:t>
      </w:r>
      <w:proofErr w:type="spellEnd"/>
      <w:r w:rsidRPr="007A52CB">
        <w:rPr>
          <w:rFonts w:eastAsia="Times New Roman" w:cs="Times New Roman"/>
        </w:rPr>
        <w:t xml:space="preserve"> хөтлөн явуулав. </w:t>
      </w:r>
      <w:r w:rsidR="00DD1528" w:rsidRPr="007A52CB">
        <w:rPr>
          <w:rFonts w:eastAsia="Times New Roman" w:cs="Times New Roman"/>
        </w:rPr>
        <w:t>Энэ үеэр Ажлын байрыг дэмжих зээлд хамрагдахад аж ахуйн нэгжүүдэд НӨАТ төлөгч байх</w:t>
      </w:r>
      <w:r w:rsidR="00591DB2" w:rsidRPr="007A52CB">
        <w:rPr>
          <w:rFonts w:eastAsia="Times New Roman" w:cs="Times New Roman"/>
        </w:rPr>
        <w:t xml:space="preserve">, сүүлийн 6 сар үйл ажиллагаа явуулсан байх зэрэг шаардлага тавьж байгаа нь хэр үндэслэлтэй талаар оролцогчид байр суурь илэрхийлсэн. </w:t>
      </w:r>
      <w:r w:rsidR="00577347" w:rsidRPr="007A52CB">
        <w:rPr>
          <w:rFonts w:eastAsia="Times New Roman" w:cs="Times New Roman"/>
        </w:rPr>
        <w:t xml:space="preserve">Мөн </w:t>
      </w:r>
      <w:proofErr w:type="spellStart"/>
      <w:r w:rsidR="00577347" w:rsidRPr="007A52CB">
        <w:rPr>
          <w:rFonts w:eastAsia="Times New Roman" w:cs="Times New Roman"/>
        </w:rPr>
        <w:t>ЖДҮҮ</w:t>
      </w:r>
      <w:proofErr w:type="spellEnd"/>
      <w:r w:rsidR="00577347" w:rsidRPr="007A52CB">
        <w:rPr>
          <w:rFonts w:eastAsia="Times New Roman" w:cs="Times New Roman"/>
        </w:rPr>
        <w:t xml:space="preserve"> эрхлэгчдэд тулгарч буй нийтлэг суурь асуудлуудыг өргөн хүрээнд ярилцсан. Харин банкны салбарын төлөөлөл цөөхөн хамрагдсан, идэвх муутай оролцсон тул тус хөтөлбөрийг хэрэгжүүлэх үед банкны салбарт тулгарсан асуудлуудын талаар хэлэлцээгүй.</w:t>
      </w:r>
    </w:p>
    <w:p w14:paraId="2F2EB30C" w14:textId="3F58CD9B" w:rsidR="00577347" w:rsidRPr="007A52CB" w:rsidRDefault="00577347" w:rsidP="00D76C4E">
      <w:pPr>
        <w:rPr>
          <w:rFonts w:eastAsia="Times New Roman" w:cs="Times New Roman"/>
        </w:rPr>
      </w:pPr>
      <w:r w:rsidRPr="007A52CB">
        <w:rPr>
          <w:rFonts w:eastAsia="Times New Roman" w:cs="Times New Roman"/>
        </w:rPr>
        <w:lastRenderedPageBreak/>
        <w:t>Тус хэлэлцүүлгийн үеэр санал бодлоо хэлсэн хүмүүсийн яриаг дор товчлон сийрүүлэв.</w:t>
      </w:r>
    </w:p>
    <w:p w14:paraId="15EEDCC4" w14:textId="674D37B4" w:rsidR="000A701C" w:rsidRPr="007A52CB" w:rsidRDefault="008204B6" w:rsidP="00D76C4E">
      <w:pPr>
        <w:rPr>
          <w:rFonts w:eastAsia="Times New Roman" w:cs="Times New Roman"/>
        </w:rPr>
      </w:pPr>
      <w:r w:rsidRPr="007A52CB">
        <w:rPr>
          <w:rFonts w:eastAsia="Times New Roman" w:cs="Times New Roman"/>
        </w:rPr>
        <w:t xml:space="preserve">Оёдлын салбарын </w:t>
      </w:r>
      <w:r w:rsidR="000A5A4A" w:rsidRPr="007A52CB">
        <w:rPr>
          <w:rFonts w:eastAsia="Times New Roman" w:cs="Times New Roman"/>
        </w:rPr>
        <w:t xml:space="preserve">мэргэжлийн </w:t>
      </w:r>
      <w:r w:rsidRPr="007A52CB">
        <w:rPr>
          <w:rFonts w:eastAsia="Times New Roman" w:cs="Times New Roman"/>
        </w:rPr>
        <w:t>нэгдсэн холбооны ерөнхийлөгч Энхзаяа</w:t>
      </w:r>
      <w:r w:rsidR="0077254A" w:rsidRPr="007A52CB">
        <w:rPr>
          <w:rFonts w:eastAsia="Times New Roman" w:cs="Times New Roman"/>
        </w:rPr>
        <w:t>:</w:t>
      </w:r>
      <w:r w:rsidRPr="007A52CB">
        <w:rPr>
          <w:rFonts w:eastAsia="Times New Roman" w:cs="Times New Roman"/>
        </w:rPr>
        <w:t xml:space="preserve"> “</w:t>
      </w:r>
      <w:proofErr w:type="spellStart"/>
      <w:r w:rsidRPr="007A52CB">
        <w:rPr>
          <w:rFonts w:eastAsia="Times New Roman" w:cs="Times New Roman"/>
        </w:rPr>
        <w:t>Ковидын</w:t>
      </w:r>
      <w:proofErr w:type="spellEnd"/>
      <w:r w:rsidRPr="007A52CB">
        <w:rPr>
          <w:rFonts w:eastAsia="Times New Roman" w:cs="Times New Roman"/>
        </w:rPr>
        <w:t xml:space="preserve"> үед тус салбарын орлого 67-80 хувь буурсан. Зээлийн шалгуур үзүүлэлтүүд зөв зохистой байсан. НӨАТ-ын хувьд бүх аж ахуйн нэгжүүдэд тэгш үйлчлэх ёстой. Бичил, жижиг аж ахуйн нэгжүүд НӨАТ төлдөггүй, дунд аж ахуйн нэгжүүд НӨАТ төлдөг нь шударга биш. </w:t>
      </w:r>
      <w:r w:rsidR="00194DD2" w:rsidRPr="007A52CB">
        <w:rPr>
          <w:rFonts w:eastAsia="Times New Roman" w:cs="Times New Roman"/>
        </w:rPr>
        <w:t xml:space="preserve">Иймээс НӨАТ-ын түвшнийг 3-5% болгоод бүх компаниудыг жигд хамруулбал шударга болно. Татвар өндөр байгаа нь татвар төлөхөөс зайлсхийх хандлагыг нэмэгдүүлж байна. </w:t>
      </w:r>
      <w:r w:rsidRPr="007A52CB">
        <w:rPr>
          <w:rFonts w:eastAsia="Times New Roman" w:cs="Times New Roman"/>
        </w:rPr>
        <w:t>НӨАТ төлөгч компаниуд үйлдвэрлэлийнхээ орцыг НӨАТ төлдөггүй компаниудаас ав</w:t>
      </w:r>
      <w:r w:rsidR="00194DD2" w:rsidRPr="007A52CB">
        <w:rPr>
          <w:rFonts w:eastAsia="Times New Roman" w:cs="Times New Roman"/>
        </w:rPr>
        <w:t xml:space="preserve">сан тохиолдолд НӨАТ-ын буцаалт авч чадахгүй болно. Жишээ нь, зах, худалдааны төвүүдийн худалдаа эрхлэгчид и-баримтаар худалдаа хийхээс зайлсхийдэг. Үүнээс болоод </w:t>
      </w:r>
      <w:proofErr w:type="spellStart"/>
      <w:r w:rsidR="00194DD2" w:rsidRPr="007A52CB">
        <w:rPr>
          <w:rFonts w:eastAsia="Times New Roman" w:cs="Times New Roman"/>
        </w:rPr>
        <w:t>ЖДҮҮ</w:t>
      </w:r>
      <w:proofErr w:type="spellEnd"/>
      <w:r w:rsidR="00194DD2" w:rsidRPr="007A52CB">
        <w:rPr>
          <w:rFonts w:eastAsia="Times New Roman" w:cs="Times New Roman"/>
        </w:rPr>
        <w:t xml:space="preserve"> эрхлэгчдийн хасагдах зардал буурч, ашигтай болж харагдаад татвар их төлөхөд хүрдэг. Мөн нийгмийн даатгалын хувь хэмжээ нэмэгдсэн. Ажил олгогчийн төлөх НДШ нь өндөр насны тэтгэвэр биш, үйлдвэрийн осол, эрүүл мэнд</w:t>
      </w:r>
      <w:r w:rsidR="000A5A4A" w:rsidRPr="007A52CB">
        <w:rPr>
          <w:rFonts w:eastAsia="Times New Roman" w:cs="Times New Roman"/>
        </w:rPr>
        <w:t>ийн даатгалыг хариуцдаг байх нь оновчтой</w:t>
      </w:r>
      <w:r w:rsidR="005D4D1D" w:rsidRPr="007A52CB">
        <w:rPr>
          <w:rFonts w:eastAsia="Times New Roman" w:cs="Times New Roman"/>
        </w:rPr>
        <w:t xml:space="preserve">. Нэг шүүмжлэлтэй асуудал бол Ажлын байр дэмжих зээлийг зөвхөн эргэлтийн хөрөнгөд олгоно гэсэн. Оёдлын салбарт энэ нь даавуу. Улирлаас хамаараад материал нь өөр өөр. Гэтэл зээл судалсан банкны мэргэжилтнүүд үүнийг ойлгохгүй, даавуу бол даавуу, та эргэлтийн хөрөнгөтэй учраас танд зээл өгөхгүй гэж үздэг. Тэгээд та </w:t>
      </w:r>
      <w:proofErr w:type="spellStart"/>
      <w:r w:rsidR="005D4D1D" w:rsidRPr="007A52CB">
        <w:rPr>
          <w:rFonts w:eastAsia="Times New Roman" w:cs="Times New Roman"/>
        </w:rPr>
        <w:t>репо</w:t>
      </w:r>
      <w:proofErr w:type="spellEnd"/>
      <w:r w:rsidR="005D4D1D" w:rsidRPr="007A52CB">
        <w:rPr>
          <w:rFonts w:eastAsia="Times New Roman" w:cs="Times New Roman"/>
        </w:rPr>
        <w:t xml:space="preserve"> ав гэдэг. Өөр нэг компанийн жишээ гэвэл, 100 саяын зээл судалж шийдээд 50 саяыг 3 хувийн зээл, үлдсэнийг нь өөрсдийн эх үүсвэрээс арилжааны зээл ав гэж тулгасан. </w:t>
      </w:r>
      <w:proofErr w:type="spellStart"/>
      <w:r w:rsidR="005D4D1D" w:rsidRPr="007A52CB">
        <w:rPr>
          <w:rFonts w:eastAsia="Times New Roman" w:cs="Times New Roman"/>
        </w:rPr>
        <w:t>ЖДҮҮ</w:t>
      </w:r>
      <w:proofErr w:type="spellEnd"/>
      <w:r w:rsidR="005D4D1D" w:rsidRPr="007A52CB">
        <w:rPr>
          <w:rFonts w:eastAsia="Times New Roman" w:cs="Times New Roman"/>
        </w:rPr>
        <w:t xml:space="preserve"> эрхлэгчдэд тоног төхөөрөмжийн зээл их хэрэгцээтэй байдгийг бас анхаарах хэрэгтэй</w:t>
      </w:r>
      <w:r w:rsidRPr="007A52CB">
        <w:rPr>
          <w:rFonts w:eastAsia="Times New Roman" w:cs="Times New Roman"/>
        </w:rPr>
        <w:t>”</w:t>
      </w:r>
      <w:r w:rsidR="005D4D1D" w:rsidRPr="007A52CB">
        <w:rPr>
          <w:rFonts w:eastAsia="Times New Roman" w:cs="Times New Roman"/>
        </w:rPr>
        <w:t xml:space="preserve">. </w:t>
      </w:r>
    </w:p>
    <w:p w14:paraId="16A73AB1" w14:textId="532AE021" w:rsidR="000A5A4A" w:rsidRPr="007A52CB" w:rsidRDefault="00BC7963" w:rsidP="00D76C4E">
      <w:pPr>
        <w:rPr>
          <w:rFonts w:eastAsia="Times New Roman" w:cs="Times New Roman"/>
        </w:rPr>
      </w:pPr>
      <w:r w:rsidRPr="007A52CB">
        <w:rPr>
          <w:rFonts w:eastAsia="Times New Roman" w:cs="Times New Roman"/>
        </w:rPr>
        <w:t xml:space="preserve">“Бүрэн арцат” ХХК-ийн захирал Батхишиг: Том компаниуд </w:t>
      </w:r>
      <w:proofErr w:type="spellStart"/>
      <w:r w:rsidRPr="007A52CB">
        <w:rPr>
          <w:rFonts w:eastAsia="Times New Roman" w:cs="Times New Roman"/>
        </w:rPr>
        <w:t>ЖДҮҮ</w:t>
      </w:r>
      <w:proofErr w:type="spellEnd"/>
      <w:r w:rsidRPr="007A52CB">
        <w:rPr>
          <w:rFonts w:eastAsia="Times New Roman" w:cs="Times New Roman"/>
        </w:rPr>
        <w:t xml:space="preserve">-ээс хэр их худалдан авалт хийдэг вэ? Том нь жижгээ тэтгэж </w:t>
      </w:r>
      <w:proofErr w:type="spellStart"/>
      <w:r w:rsidRPr="007A52CB">
        <w:rPr>
          <w:rFonts w:eastAsia="Times New Roman" w:cs="Times New Roman"/>
        </w:rPr>
        <w:t>чирж</w:t>
      </w:r>
      <w:proofErr w:type="spellEnd"/>
      <w:r w:rsidRPr="007A52CB">
        <w:rPr>
          <w:rFonts w:eastAsia="Times New Roman" w:cs="Times New Roman"/>
        </w:rPr>
        <w:t xml:space="preserve"> явдаг. </w:t>
      </w:r>
      <w:proofErr w:type="spellStart"/>
      <w:r w:rsidRPr="007A52CB">
        <w:rPr>
          <w:rFonts w:eastAsia="Times New Roman" w:cs="Times New Roman"/>
        </w:rPr>
        <w:t>ЖДҮҮ</w:t>
      </w:r>
      <w:proofErr w:type="spellEnd"/>
      <w:r w:rsidRPr="007A52CB">
        <w:rPr>
          <w:rFonts w:eastAsia="Times New Roman" w:cs="Times New Roman"/>
        </w:rPr>
        <w:t xml:space="preserve"> эрхлэгчид ямар багтаамжтай зах зээлд, ямар хүмүүстэй өрсөлдөж байгаа мэдээлэлгүйгээр зах зээл рүү орж байна. Яг нэг чиглэлийн олон компанид зээл өгөхөөр цөөхөн нь л амжилттай, бусад нь бүтэлгүйддэг. </w:t>
      </w:r>
      <w:r w:rsidR="00917493" w:rsidRPr="007A52CB">
        <w:rPr>
          <w:rFonts w:eastAsia="Times New Roman" w:cs="Times New Roman"/>
        </w:rPr>
        <w:t xml:space="preserve">Мэдээлэл шаардлагатай. </w:t>
      </w:r>
      <w:proofErr w:type="spellStart"/>
      <w:r w:rsidR="00917493" w:rsidRPr="007A52CB">
        <w:rPr>
          <w:rFonts w:eastAsia="Times New Roman" w:cs="Times New Roman"/>
        </w:rPr>
        <w:t>ЖДҮҮ</w:t>
      </w:r>
      <w:proofErr w:type="spellEnd"/>
      <w:r w:rsidR="00917493" w:rsidRPr="007A52CB">
        <w:rPr>
          <w:rFonts w:eastAsia="Times New Roman" w:cs="Times New Roman"/>
        </w:rPr>
        <w:t xml:space="preserve"> эрхлэгчид дор дороо тэр мэдээллийг олж авч чадахгүй, зардал ихтэй. Харин </w:t>
      </w:r>
      <w:proofErr w:type="spellStart"/>
      <w:r w:rsidR="00917493" w:rsidRPr="007A52CB">
        <w:rPr>
          <w:rFonts w:eastAsia="Times New Roman" w:cs="Times New Roman"/>
        </w:rPr>
        <w:t>ЖДҮҮ</w:t>
      </w:r>
      <w:proofErr w:type="spellEnd"/>
      <w:r w:rsidR="00917493" w:rsidRPr="007A52CB">
        <w:rPr>
          <w:rFonts w:eastAsia="Times New Roman" w:cs="Times New Roman"/>
        </w:rPr>
        <w:t xml:space="preserve"> газар, эсвэл салбарын холбоод, МҮХАҮТ тийм нэгдсэн мэдээллээр хангаж өгвөл олон мянган </w:t>
      </w:r>
      <w:proofErr w:type="spellStart"/>
      <w:r w:rsidR="00917493" w:rsidRPr="007A52CB">
        <w:rPr>
          <w:rFonts w:eastAsia="Times New Roman" w:cs="Times New Roman"/>
        </w:rPr>
        <w:t>ЖДҮҮ</w:t>
      </w:r>
      <w:proofErr w:type="spellEnd"/>
      <w:r w:rsidR="00917493" w:rsidRPr="007A52CB">
        <w:rPr>
          <w:rFonts w:eastAsia="Times New Roman" w:cs="Times New Roman"/>
        </w:rPr>
        <w:t xml:space="preserve"> эрхлэгчдийн зардлыг хэмнэсэн, эрсдэлийг бууруулсан чухал ажил болохоор байна. </w:t>
      </w:r>
    </w:p>
    <w:p w14:paraId="20B21117" w14:textId="48B3B0FE" w:rsidR="00BC7963" w:rsidRPr="007A52CB" w:rsidRDefault="00BC7963" w:rsidP="00D76C4E">
      <w:pPr>
        <w:rPr>
          <w:rFonts w:eastAsia="Times New Roman" w:cs="Times New Roman"/>
        </w:rPr>
      </w:pPr>
      <w:proofErr w:type="spellStart"/>
      <w:r w:rsidRPr="007A52CB">
        <w:rPr>
          <w:rFonts w:eastAsia="Times New Roman" w:cs="Times New Roman"/>
        </w:rPr>
        <w:t>ЖДҮГ</w:t>
      </w:r>
      <w:proofErr w:type="spellEnd"/>
      <w:r w:rsidRPr="007A52CB">
        <w:rPr>
          <w:rFonts w:eastAsia="Times New Roman" w:cs="Times New Roman"/>
        </w:rPr>
        <w:t>-ын дарга А. Гэрэлзаяа</w:t>
      </w:r>
      <w:r w:rsidR="0077254A" w:rsidRPr="007A52CB">
        <w:rPr>
          <w:rFonts w:eastAsia="Times New Roman" w:cs="Times New Roman"/>
        </w:rPr>
        <w:t>:</w:t>
      </w:r>
      <w:r w:rsidRPr="007A52CB">
        <w:rPr>
          <w:rFonts w:eastAsia="Times New Roman" w:cs="Times New Roman"/>
        </w:rPr>
        <w:t xml:space="preserve"> </w:t>
      </w:r>
      <w:r w:rsidR="0077254A" w:rsidRPr="007A52CB">
        <w:rPr>
          <w:rFonts w:eastAsia="Times New Roman" w:cs="Times New Roman"/>
        </w:rPr>
        <w:t>“</w:t>
      </w:r>
      <w:r w:rsidRPr="007A52CB">
        <w:rPr>
          <w:rFonts w:eastAsia="Times New Roman" w:cs="Times New Roman"/>
        </w:rPr>
        <w:t xml:space="preserve">Том бизнесүүд жижиг бизнесээ дэмжих сайн жишээнүүд байдаг. Жишээ нь Газар шим компани хүнсний ногоо худалдаж авах, </w:t>
      </w:r>
      <w:proofErr w:type="spellStart"/>
      <w:r w:rsidRPr="007A52CB">
        <w:rPr>
          <w:rFonts w:eastAsia="Times New Roman" w:cs="Times New Roman"/>
        </w:rPr>
        <w:t>Тэсо</w:t>
      </w:r>
      <w:proofErr w:type="spellEnd"/>
      <w:r w:rsidRPr="007A52CB">
        <w:rPr>
          <w:rFonts w:eastAsia="Times New Roman" w:cs="Times New Roman"/>
        </w:rPr>
        <w:t xml:space="preserve"> компани ямааны сүү авах, Дархан Нэхий компани “Увсын цагаан улт” гутлын загвар дизайн боловсруулах гэх мэт. Уул уурхайн төсөл, </w:t>
      </w:r>
      <w:r w:rsidR="00917493" w:rsidRPr="007A52CB">
        <w:rPr>
          <w:rFonts w:eastAsia="Times New Roman" w:cs="Times New Roman"/>
        </w:rPr>
        <w:t xml:space="preserve">төрийн худалдан авалт дээр </w:t>
      </w:r>
      <w:proofErr w:type="spellStart"/>
      <w:r w:rsidR="00917493" w:rsidRPr="007A52CB">
        <w:rPr>
          <w:rFonts w:eastAsia="Times New Roman" w:cs="Times New Roman"/>
        </w:rPr>
        <w:t>ЖДҮҮ</w:t>
      </w:r>
      <w:proofErr w:type="spellEnd"/>
      <w:r w:rsidR="00917493" w:rsidRPr="007A52CB">
        <w:rPr>
          <w:rFonts w:eastAsia="Times New Roman" w:cs="Times New Roman"/>
        </w:rPr>
        <w:t>-г дэмжих бодлого байгаа.</w:t>
      </w:r>
      <w:r w:rsidR="00E76DAA" w:rsidRPr="007A52CB">
        <w:rPr>
          <w:rFonts w:eastAsia="Times New Roman" w:cs="Times New Roman"/>
        </w:rPr>
        <w:t xml:space="preserve"> </w:t>
      </w:r>
      <w:proofErr w:type="spellStart"/>
      <w:r w:rsidR="00E76DAA" w:rsidRPr="007A52CB">
        <w:rPr>
          <w:rFonts w:eastAsia="Times New Roman" w:cs="Times New Roman"/>
        </w:rPr>
        <w:t>ЖДҮГ</w:t>
      </w:r>
      <w:proofErr w:type="spellEnd"/>
      <w:r w:rsidR="00E76DAA" w:rsidRPr="007A52CB">
        <w:rPr>
          <w:rFonts w:eastAsia="Times New Roman" w:cs="Times New Roman"/>
        </w:rPr>
        <w:t xml:space="preserve"> “Эх оронч худалдан авалт”</w:t>
      </w:r>
      <w:r w:rsidR="00917493" w:rsidRPr="007A52CB">
        <w:rPr>
          <w:rFonts w:eastAsia="Times New Roman" w:cs="Times New Roman"/>
        </w:rPr>
        <w:t xml:space="preserve"> </w:t>
      </w:r>
      <w:r w:rsidR="00E76DAA" w:rsidRPr="007A52CB">
        <w:rPr>
          <w:rFonts w:eastAsia="Times New Roman" w:cs="Times New Roman"/>
        </w:rPr>
        <w:t>гэсэн арга хэмжээний хүрээнд томоохон аж ахуйн нэгжүүдээс дотоодын худалдан авалтын мэдээллээ гаргаж өгөхийг хүсдэг</w:t>
      </w:r>
      <w:r w:rsidR="00F96945" w:rsidRPr="007A52CB">
        <w:rPr>
          <w:rFonts w:eastAsia="Times New Roman" w:cs="Times New Roman"/>
        </w:rPr>
        <w:t xml:space="preserve">, нөгөө талд нь </w:t>
      </w:r>
      <w:proofErr w:type="spellStart"/>
      <w:r w:rsidR="00F96945" w:rsidRPr="007A52CB">
        <w:rPr>
          <w:rFonts w:eastAsia="Times New Roman" w:cs="Times New Roman"/>
        </w:rPr>
        <w:t>ЖДҮҮ</w:t>
      </w:r>
      <w:proofErr w:type="spellEnd"/>
      <w:r w:rsidR="00F96945" w:rsidRPr="007A52CB">
        <w:rPr>
          <w:rFonts w:eastAsia="Times New Roman" w:cs="Times New Roman"/>
        </w:rPr>
        <w:t xml:space="preserve"> эрхлэгчид өөрсдийн чадавх, түвшнийг харуулсан үзэсгэлэн худалдаа зохиодог, энэ хоёр талыг уулзуулах ажил зохион байгуулдаг. </w:t>
      </w:r>
      <w:proofErr w:type="spellStart"/>
      <w:r w:rsidR="00F96945" w:rsidRPr="007A52CB">
        <w:rPr>
          <w:rFonts w:eastAsia="Times New Roman" w:cs="Times New Roman"/>
        </w:rPr>
        <w:t>ЖДҮГ</w:t>
      </w:r>
      <w:proofErr w:type="spellEnd"/>
      <w:r w:rsidR="00F96945" w:rsidRPr="007A52CB">
        <w:rPr>
          <w:rFonts w:eastAsia="Times New Roman" w:cs="Times New Roman"/>
        </w:rPr>
        <w:t xml:space="preserve">-ын </w:t>
      </w:r>
      <w:proofErr w:type="spellStart"/>
      <w:r w:rsidR="00F96945" w:rsidRPr="007A52CB">
        <w:rPr>
          <w:rFonts w:eastAsia="Times New Roman" w:cs="Times New Roman"/>
        </w:rPr>
        <w:t>пэйж</w:t>
      </w:r>
      <w:proofErr w:type="spellEnd"/>
      <w:r w:rsidR="00F96945" w:rsidRPr="007A52CB">
        <w:rPr>
          <w:rFonts w:eastAsia="Times New Roman" w:cs="Times New Roman"/>
        </w:rPr>
        <w:t xml:space="preserve"> хуудас шинэчлэгдэж байгаа, тэнд чухал мэдээллүүд оруулдаг болж байгаа</w:t>
      </w:r>
      <w:r w:rsidR="0077254A" w:rsidRPr="007A52CB">
        <w:rPr>
          <w:rFonts w:eastAsia="Times New Roman" w:cs="Times New Roman"/>
        </w:rPr>
        <w:t>”</w:t>
      </w:r>
      <w:r w:rsidR="00F96945" w:rsidRPr="007A52CB">
        <w:rPr>
          <w:rFonts w:eastAsia="Times New Roman" w:cs="Times New Roman"/>
        </w:rPr>
        <w:t xml:space="preserve"> </w:t>
      </w:r>
    </w:p>
    <w:p w14:paraId="7B2DB02D" w14:textId="7F2EFD2D" w:rsidR="00F96945" w:rsidRPr="007A52CB" w:rsidRDefault="00F96945" w:rsidP="00D76C4E">
      <w:pPr>
        <w:rPr>
          <w:rFonts w:eastAsia="Times New Roman" w:cs="Times New Roman"/>
        </w:rPr>
      </w:pPr>
      <w:r w:rsidRPr="007A52CB">
        <w:rPr>
          <w:rFonts w:eastAsia="Times New Roman" w:cs="Times New Roman"/>
        </w:rPr>
        <w:t>Монголын хог хаягдлыг боловсруулах үндэсний холбооны тэргүүн Батжаргал</w:t>
      </w:r>
      <w:r w:rsidR="0077254A" w:rsidRPr="007A52CB">
        <w:rPr>
          <w:rFonts w:eastAsia="Times New Roman" w:cs="Times New Roman"/>
        </w:rPr>
        <w:t>:</w:t>
      </w:r>
      <w:r w:rsidRPr="007A52CB">
        <w:rPr>
          <w:rFonts w:eastAsia="Times New Roman" w:cs="Times New Roman"/>
        </w:rPr>
        <w:t xml:space="preserve"> “</w:t>
      </w:r>
      <w:proofErr w:type="spellStart"/>
      <w:r w:rsidRPr="007A52CB">
        <w:rPr>
          <w:rFonts w:eastAsia="Times New Roman" w:cs="Times New Roman"/>
        </w:rPr>
        <w:t>ЖДҮҮ</w:t>
      </w:r>
      <w:proofErr w:type="spellEnd"/>
      <w:r w:rsidRPr="007A52CB">
        <w:rPr>
          <w:rFonts w:eastAsia="Times New Roman" w:cs="Times New Roman"/>
        </w:rPr>
        <w:t xml:space="preserve"> эрхлэгчдэд олгодог янз бүрийн хөнгөлөлттэй зээлийн арга хэмжээнд хог хаягдал боловсруулах үйлдвэрүүд хамрагддаггүй, зөвшөөрөгдөх чиглэлд нь хамаардаггүй. </w:t>
      </w:r>
      <w:r w:rsidR="00FF3D03" w:rsidRPr="007A52CB">
        <w:rPr>
          <w:rFonts w:eastAsia="Times New Roman" w:cs="Times New Roman"/>
        </w:rPr>
        <w:t xml:space="preserve">Мөн хаягдал боловсруулдаг газрууд цуглуулсан түүхий эддээ и-баримт авдаггүй, тийм боломж байхгүй. Иймээс хог хаягдал боловсруулах салбарыг яг ХАА-н гаралтай түүхий эд боловсруулах үйлдвэрүүдтэй адил </w:t>
      </w:r>
      <w:r w:rsidR="00CE531A" w:rsidRPr="007A52CB">
        <w:rPr>
          <w:rFonts w:eastAsia="Times New Roman" w:cs="Times New Roman"/>
        </w:rPr>
        <w:t>нэмэгдэл өртөг шингэсэн гэж тооцож хөнгөлөлт үзүүлдэг байх хэрэгтэй байна</w:t>
      </w:r>
      <w:r w:rsidRPr="007A52CB">
        <w:rPr>
          <w:rFonts w:eastAsia="Times New Roman" w:cs="Times New Roman"/>
        </w:rPr>
        <w:t>”</w:t>
      </w:r>
      <w:r w:rsidR="00CE531A" w:rsidRPr="007A52CB">
        <w:rPr>
          <w:rFonts w:eastAsia="Times New Roman" w:cs="Times New Roman"/>
        </w:rPr>
        <w:t>.</w:t>
      </w:r>
    </w:p>
    <w:p w14:paraId="4B9E2528" w14:textId="77777777" w:rsidR="0077254A" w:rsidRPr="007A52CB" w:rsidRDefault="0077254A" w:rsidP="0077254A">
      <w:pPr>
        <w:rPr>
          <w:rFonts w:eastAsia="Times New Roman" w:cs="Times New Roman"/>
        </w:rPr>
      </w:pPr>
      <w:proofErr w:type="spellStart"/>
      <w:r w:rsidRPr="007A52CB">
        <w:rPr>
          <w:rFonts w:eastAsia="Times New Roman" w:cs="Times New Roman"/>
        </w:rPr>
        <w:t>ЖДҮГ</w:t>
      </w:r>
      <w:proofErr w:type="spellEnd"/>
      <w:r w:rsidRPr="007A52CB">
        <w:rPr>
          <w:rFonts w:eastAsia="Times New Roman" w:cs="Times New Roman"/>
        </w:rPr>
        <w:t xml:space="preserve">-ын дарга А. Гэрэлзаяа: </w:t>
      </w:r>
      <w:proofErr w:type="spellStart"/>
      <w:r w:rsidRPr="007A52CB">
        <w:rPr>
          <w:rFonts w:eastAsia="Times New Roman" w:cs="Times New Roman"/>
        </w:rPr>
        <w:t>ЖДҮХС</w:t>
      </w:r>
      <w:proofErr w:type="spellEnd"/>
      <w:r w:rsidRPr="007A52CB">
        <w:rPr>
          <w:rFonts w:eastAsia="Times New Roman" w:cs="Times New Roman"/>
        </w:rPr>
        <w:t xml:space="preserve"> сүүлийн жилүүдэд төсвөөс санхүүжилт аваагүй, эргэн төлөлтөөрөө санхүүжиж байгаа. 2022 онд 20.5 тэрбум төгрөг төвлөрнө, үүний 10 тэрбумыг нийслэлд, 10.5 тэрбумыг орон нутагт зээлээр олгоно. Өнгөрсөн жил хүнсний үйлдвэрлэл, халдвар хамгааллын чиглэлд түлхүү зээл олгосон бол энэ онд зээлийн 90% хүнсний хангамжид чиглэнэ. Хэрвээ төсөв нэмэгдвэл бусад салбаруудад зээл олгоно.</w:t>
      </w:r>
    </w:p>
    <w:p w14:paraId="2806171B" w14:textId="324BC9A6" w:rsidR="000223E5" w:rsidRPr="007A52CB" w:rsidRDefault="000223E5" w:rsidP="00D76C4E">
      <w:pPr>
        <w:rPr>
          <w:rFonts w:eastAsia="Times New Roman" w:cs="Times New Roman"/>
        </w:rPr>
      </w:pPr>
      <w:r w:rsidRPr="007A52CB">
        <w:rPr>
          <w:rFonts w:eastAsia="Times New Roman" w:cs="Times New Roman"/>
        </w:rPr>
        <w:lastRenderedPageBreak/>
        <w:t>Монголын жижиглэн худалдаа эрхлэгчдийн холбооны Нарантуяа</w:t>
      </w:r>
      <w:r w:rsidR="0077254A" w:rsidRPr="007A52CB">
        <w:rPr>
          <w:rFonts w:eastAsia="Times New Roman" w:cs="Times New Roman"/>
        </w:rPr>
        <w:t>:</w:t>
      </w:r>
      <w:r w:rsidRPr="007A52CB">
        <w:rPr>
          <w:rFonts w:eastAsia="Times New Roman" w:cs="Times New Roman"/>
        </w:rPr>
        <w:t xml:space="preserve"> “Цар тахлын 2 жилийн хугацаанд барааны үнийн өсөлт, үйл ажиллагаанд тавигдсан хязгаарлалт, барааны тасалдал зэрэг хүндрэл тулгарсан. НӨАТ их дарамт болдог учраас НӨАТ-ын түвшнийг 5% болгох шаардлага гаргаж, татварын алба, Засгийн газарт олон удаа хандсан. Татварын энэ дарамтыг тус тусдаа яриад байвал үр дүнгүй, салбарын олон холбоод, аж ахуйн нэгжүүд нэгтгэж, хүчтэй шаардлага тав</w:t>
      </w:r>
      <w:r w:rsidR="0053124B" w:rsidRPr="007A52CB">
        <w:rPr>
          <w:rFonts w:eastAsia="Times New Roman" w:cs="Times New Roman"/>
        </w:rPr>
        <w:t>ьж хүргэ</w:t>
      </w:r>
      <w:r w:rsidRPr="007A52CB">
        <w:rPr>
          <w:rFonts w:eastAsia="Times New Roman" w:cs="Times New Roman"/>
        </w:rPr>
        <w:t xml:space="preserve">х хэрэгтэй. </w:t>
      </w:r>
      <w:r w:rsidR="0053124B" w:rsidRPr="007A52CB">
        <w:rPr>
          <w:rFonts w:eastAsia="Times New Roman" w:cs="Times New Roman"/>
        </w:rPr>
        <w:t>НӨАТ-д бүртгэлгүй х</w:t>
      </w:r>
      <w:r w:rsidRPr="007A52CB">
        <w:rPr>
          <w:rFonts w:eastAsia="Times New Roman" w:cs="Times New Roman"/>
        </w:rPr>
        <w:t>үчин чадал багатай</w:t>
      </w:r>
      <w:r w:rsidR="0053124B" w:rsidRPr="007A52CB">
        <w:rPr>
          <w:rFonts w:eastAsia="Times New Roman" w:cs="Times New Roman"/>
        </w:rPr>
        <w:t xml:space="preserve"> жижиг</w:t>
      </w:r>
      <w:r w:rsidRPr="007A52CB">
        <w:rPr>
          <w:rFonts w:eastAsia="Times New Roman" w:cs="Times New Roman"/>
        </w:rPr>
        <w:t xml:space="preserve"> худалдаа эрхлэгчид ихэнх нь </w:t>
      </w:r>
      <w:r w:rsidR="0053124B" w:rsidRPr="007A52CB">
        <w:rPr>
          <w:rFonts w:eastAsia="Times New Roman" w:cs="Times New Roman"/>
        </w:rPr>
        <w:t>Ажлын байрыг дэмжих зээлд хамрагдаж чадаагүй, тиймээс энэ хөтөлбөрийг үр нөлөө муутай болсон гэж дүгнэж байна.</w:t>
      </w:r>
      <w:r w:rsidRPr="007A52CB">
        <w:rPr>
          <w:rFonts w:eastAsia="Times New Roman" w:cs="Times New Roman"/>
        </w:rPr>
        <w:t>”</w:t>
      </w:r>
    </w:p>
    <w:p w14:paraId="7A002481" w14:textId="35D160BD" w:rsidR="0077254A" w:rsidRPr="007A52CB" w:rsidRDefault="0077254A" w:rsidP="00D76C4E">
      <w:pPr>
        <w:rPr>
          <w:rFonts w:eastAsia="Times New Roman" w:cs="Times New Roman"/>
        </w:rPr>
      </w:pPr>
      <w:proofErr w:type="spellStart"/>
      <w:r w:rsidRPr="007A52CB">
        <w:rPr>
          <w:rFonts w:eastAsia="Times New Roman" w:cs="Times New Roman"/>
        </w:rPr>
        <w:t>Модератор</w:t>
      </w:r>
      <w:proofErr w:type="spellEnd"/>
      <w:r w:rsidRPr="007A52CB">
        <w:rPr>
          <w:rFonts w:eastAsia="Times New Roman" w:cs="Times New Roman"/>
        </w:rPr>
        <w:t xml:space="preserve"> Д.Жаргалсайхан: </w:t>
      </w:r>
      <w:r w:rsidR="003B16BC" w:rsidRPr="007A52CB">
        <w:rPr>
          <w:rFonts w:eastAsia="Times New Roman" w:cs="Times New Roman"/>
        </w:rPr>
        <w:t>“</w:t>
      </w:r>
      <w:r w:rsidRPr="007A52CB">
        <w:rPr>
          <w:rFonts w:eastAsia="Times New Roman" w:cs="Times New Roman"/>
        </w:rPr>
        <w:t xml:space="preserve">Монголын 100 мянга гаруй компанийн 6 мянга нь л МҮХАҮТ-ын гишүүн. Тус танхим 100 гаруй ажилтантай, дээр дурдсан мэдээллүүдийг гаргаж өгдөг. Тэр мэдээллийг гишүүн бус байгууллагууд авч чадахгүй байгаа. Өрсөлдөх чадварын суурь нь мэдээлэл. </w:t>
      </w:r>
      <w:r w:rsidR="00E22E0C" w:rsidRPr="007A52CB">
        <w:rPr>
          <w:rFonts w:eastAsia="Times New Roman" w:cs="Times New Roman"/>
        </w:rPr>
        <w:t xml:space="preserve">Мэдээлэлгүйгээс болоод хоорондоо үнээрээ өрсөлдөөд хүнд байдалд ордог. Жишээ нь, манай цементийн үйлдвэр. 4 том үйлдвэр гадаадын зээлээр боссон, гэвч зээлээ төлж чадахгүй асуудал босож ирсэн. 1997-2000 онд манай Гадаадын хөрөнгө оруулалтын газар 7 хоног бүрд аль салбарт ямар компани бүртгүүлж байгаа мэдээллийг гаргадаг байсан. Одоо энэ мэдээлэл гарахгүй байгаа. Үүнээс болоод жишээлбэл махны салбар бүхэлдээ Хятадын компаниудын мэдэлд орсон. Ийм явдлаас сэргийлэхийн тулд мэдээллийг нээлттэй болгох, салбарын холбоод, танхим эрх мэдэлтэй байх, шаардлага тавьдаг байх хэрэгтэй. Европын орнууд шиг бүх компани автоматаар танхимын гишүүн болдог байх хэрэгтэй. 30 мянган төгрөг төлөөд гишүүн болдог </w:t>
      </w:r>
      <w:r w:rsidR="00AA280F" w:rsidRPr="007A52CB">
        <w:rPr>
          <w:rFonts w:eastAsia="Times New Roman" w:cs="Times New Roman"/>
        </w:rPr>
        <w:t>байж болно</w:t>
      </w:r>
      <w:r w:rsidR="00E22E0C" w:rsidRPr="007A52CB">
        <w:rPr>
          <w:rFonts w:eastAsia="Times New Roman" w:cs="Times New Roman"/>
        </w:rPr>
        <w:t xml:space="preserve">. </w:t>
      </w:r>
      <w:r w:rsidR="00AA280F" w:rsidRPr="007A52CB">
        <w:rPr>
          <w:rFonts w:eastAsia="Times New Roman" w:cs="Times New Roman"/>
        </w:rPr>
        <w:t xml:space="preserve">Худалдааны танхим шилдэг татвар төлөгч шалгаруулах нь оновчтой биш байна. Компанийн зорилго бол татвар төлөх биш, ашиг олох. Шилдэг татвар төлөгчийн оронд дотоодоос хамгийн их дүнгээр худалдан авалт хийсэн, эсвэл худалдан авалтынхаа хамгийн их хувийг дотоодоос хийсэн компаниудыг шалгаруулдаг байвал үр дүнтэй болно. Мөн дотоодоос худалдан авалт хийх Засгийн газрын шийдвэр хэрэгждэггүй тухай шүүмж гарсан. Жишээ нь тавилгыг дотоодоос авч болно. </w:t>
      </w:r>
      <w:r w:rsidR="00AC090E" w:rsidRPr="007A52CB">
        <w:rPr>
          <w:rFonts w:eastAsia="Times New Roman" w:cs="Times New Roman"/>
        </w:rPr>
        <w:t>Энэ чухал шийдвэр яагаад хэрэгждэггүй байгааг Засгийн газар анхаарах хэрэгтэй</w:t>
      </w:r>
      <w:r w:rsidR="003B16BC" w:rsidRPr="007A52CB">
        <w:rPr>
          <w:rFonts w:eastAsia="Times New Roman" w:cs="Times New Roman"/>
        </w:rPr>
        <w:t>”</w:t>
      </w:r>
      <w:r w:rsidR="00AC090E" w:rsidRPr="007A52CB">
        <w:rPr>
          <w:rFonts w:eastAsia="Times New Roman" w:cs="Times New Roman"/>
        </w:rPr>
        <w:t xml:space="preserve">. </w:t>
      </w:r>
    </w:p>
    <w:p w14:paraId="0B5C62B6" w14:textId="79A4BBF9" w:rsidR="003B16BC" w:rsidRPr="007A52CB" w:rsidRDefault="003B16BC" w:rsidP="00D76C4E">
      <w:pPr>
        <w:rPr>
          <w:rFonts w:eastAsia="Times New Roman" w:cs="Times New Roman"/>
        </w:rPr>
      </w:pPr>
      <w:r w:rsidRPr="007A52CB">
        <w:rPr>
          <w:rFonts w:eastAsia="Times New Roman" w:cs="Times New Roman"/>
        </w:rPr>
        <w:t>ЭЗСЭШХ</w:t>
      </w:r>
      <w:r w:rsidR="00D43310" w:rsidRPr="007A52CB">
        <w:rPr>
          <w:rFonts w:eastAsia="Times New Roman" w:cs="Times New Roman"/>
        </w:rPr>
        <w:t>-ийн захирал</w:t>
      </w:r>
      <w:r w:rsidRPr="007A52CB">
        <w:rPr>
          <w:rFonts w:eastAsia="Times New Roman" w:cs="Times New Roman"/>
        </w:rPr>
        <w:t xml:space="preserve"> Б.Түвшинтөгс: “10 их наядын цогц төлөвлөгөө нь хөнгөлөлттэй нөхцөлтэй зээл олгож байгаа, зах зээл дээр бол ийм хямд зээл олгогдохгүй. Иймээс нийт зээл ихээр тэлсэн. Хүмүүсийн худалдан авалт эрс нэмэгдсэн. Гэтэл нөгөө талд Хятадын хил хязгаарлагдмал байна. Иймээс 15% </w:t>
      </w:r>
      <w:proofErr w:type="spellStart"/>
      <w:r w:rsidRPr="007A52CB">
        <w:rPr>
          <w:rFonts w:eastAsia="Times New Roman" w:cs="Times New Roman"/>
        </w:rPr>
        <w:t>инфляцид</w:t>
      </w:r>
      <w:proofErr w:type="spellEnd"/>
      <w:r w:rsidRPr="007A52CB">
        <w:rPr>
          <w:rFonts w:eastAsia="Times New Roman" w:cs="Times New Roman"/>
        </w:rPr>
        <w:t xml:space="preserve"> хүрсэн. Дэлхий даяар бодлого боловсруулагчид яг ийм асуудалтай тулгарсан. </w:t>
      </w:r>
      <w:r w:rsidR="003E691E" w:rsidRPr="007A52CB">
        <w:rPr>
          <w:rFonts w:eastAsia="Times New Roman" w:cs="Times New Roman"/>
        </w:rPr>
        <w:t xml:space="preserve">Мөнгөний нийлүүлэлтийг бууруулъя гэвэл зээл олгохгүй болно. Бас төсвийн зардлыг бууруулна. </w:t>
      </w:r>
      <w:proofErr w:type="spellStart"/>
      <w:r w:rsidR="003E691E" w:rsidRPr="007A52CB">
        <w:rPr>
          <w:rFonts w:eastAsia="Times New Roman" w:cs="Times New Roman"/>
        </w:rPr>
        <w:t>Инфляцийг</w:t>
      </w:r>
      <w:proofErr w:type="spellEnd"/>
      <w:r w:rsidR="003E691E" w:rsidRPr="007A52CB">
        <w:rPr>
          <w:rFonts w:eastAsia="Times New Roman" w:cs="Times New Roman"/>
        </w:rPr>
        <w:t xml:space="preserve"> бууруулахын тулд эдийн засгаа унагах ёстой хэцүү сонголттой болоод байна. Ингээд </w:t>
      </w:r>
      <w:proofErr w:type="spellStart"/>
      <w:r w:rsidR="003E691E" w:rsidRPr="007A52CB">
        <w:rPr>
          <w:rFonts w:eastAsia="Times New Roman" w:cs="Times New Roman"/>
        </w:rPr>
        <w:t>Монголбанк</w:t>
      </w:r>
      <w:proofErr w:type="spellEnd"/>
      <w:r w:rsidR="003E691E" w:rsidRPr="007A52CB">
        <w:rPr>
          <w:rFonts w:eastAsia="Times New Roman" w:cs="Times New Roman"/>
        </w:rPr>
        <w:t xml:space="preserve"> бодлогын хүүгээ өсгөсөн, энэ нь зээлийн хүү өснө гэсэн үг, ингэхээр зээл авч байгаа төслүүд буурна, зээл буурна, эдийн засгийн идэвхжил буурна. Биднээс хамаарал багатай хил гаалийн хүндрэл гол шалтгаан болж байна. </w:t>
      </w:r>
      <w:proofErr w:type="spellStart"/>
      <w:r w:rsidR="003E691E" w:rsidRPr="007A52CB">
        <w:rPr>
          <w:rFonts w:eastAsia="Times New Roman" w:cs="Times New Roman"/>
        </w:rPr>
        <w:t>ЖДҮ</w:t>
      </w:r>
      <w:proofErr w:type="spellEnd"/>
      <w:r w:rsidR="003E691E" w:rsidRPr="007A52CB">
        <w:rPr>
          <w:rFonts w:eastAsia="Times New Roman" w:cs="Times New Roman"/>
        </w:rPr>
        <w:t xml:space="preserve"> салбартай холбоотой нэг гол зүйл бол төрөөс агентлаг байгуулж байгаад зээл олгох нь зөв тогтолцоо юу гэдэг асуултад хэн ч хариулаагүй байгаа. Өмнөх явж ирсэн </w:t>
      </w:r>
      <w:r w:rsidR="00D43310" w:rsidRPr="007A52CB">
        <w:rPr>
          <w:rFonts w:eastAsia="Times New Roman" w:cs="Times New Roman"/>
        </w:rPr>
        <w:t>тогтолцоогоо л</w:t>
      </w:r>
      <w:r w:rsidR="003E691E" w:rsidRPr="007A52CB">
        <w:rPr>
          <w:rFonts w:eastAsia="Times New Roman" w:cs="Times New Roman"/>
        </w:rPr>
        <w:t xml:space="preserve"> дагаад байгаа, өөрчлөөгүй. Нэг хэсэг </w:t>
      </w:r>
      <w:proofErr w:type="spellStart"/>
      <w:r w:rsidR="003E691E" w:rsidRPr="007A52CB">
        <w:rPr>
          <w:rFonts w:eastAsia="Times New Roman" w:cs="Times New Roman"/>
        </w:rPr>
        <w:t>ЖДҮХС</w:t>
      </w:r>
      <w:proofErr w:type="spellEnd"/>
      <w:r w:rsidR="003E691E" w:rsidRPr="007A52CB">
        <w:rPr>
          <w:rFonts w:eastAsia="Times New Roman" w:cs="Times New Roman"/>
        </w:rPr>
        <w:t xml:space="preserve">-ийн чанаргүй зээлийн хувь 50% хүрсэн. </w:t>
      </w:r>
      <w:r w:rsidR="00147761" w:rsidRPr="007A52CB">
        <w:rPr>
          <w:rFonts w:eastAsia="Times New Roman" w:cs="Times New Roman"/>
        </w:rPr>
        <w:t xml:space="preserve">Арилжааны банкнаас цэвэр арилжааны нөхцөлтэй бүтээгдэхүүн </w:t>
      </w:r>
      <w:r w:rsidR="00D43310" w:rsidRPr="007A52CB">
        <w:rPr>
          <w:rFonts w:eastAsia="Times New Roman" w:cs="Times New Roman"/>
        </w:rPr>
        <w:t xml:space="preserve">гаргаж </w:t>
      </w:r>
      <w:r w:rsidR="00147761" w:rsidRPr="007A52CB">
        <w:rPr>
          <w:rFonts w:eastAsia="Times New Roman" w:cs="Times New Roman"/>
        </w:rPr>
        <w:t xml:space="preserve">байхад зэрэгцээд хөнгөлөлттэй зээл төрөөс олгодог тогтолцоо гарч ирсэн нь зарчмын хувьд буруу. Арилжааны ашиг сонирхлыг яаж холбож өгөх вэ гэдэг нь шийдэгдээгүй. Бидний хувьд ийм хөнгөлөлттэй зээл гэхээсээ, төрийн хувьд </w:t>
      </w:r>
      <w:proofErr w:type="spellStart"/>
      <w:r w:rsidR="00147761" w:rsidRPr="007A52CB">
        <w:rPr>
          <w:rFonts w:eastAsia="Times New Roman" w:cs="Times New Roman"/>
        </w:rPr>
        <w:t>ЖДҮ</w:t>
      </w:r>
      <w:proofErr w:type="spellEnd"/>
      <w:r w:rsidR="00147761" w:rsidRPr="007A52CB">
        <w:rPr>
          <w:rFonts w:eastAsia="Times New Roman" w:cs="Times New Roman"/>
        </w:rPr>
        <w:t xml:space="preserve"> салбарт тулгардаг хэлцлийн зардал гэгдэх их хэмжээний, шаардлагагүй</w:t>
      </w:r>
      <w:r w:rsidR="00D43310" w:rsidRPr="007A52CB">
        <w:rPr>
          <w:rFonts w:eastAsia="Times New Roman" w:cs="Times New Roman"/>
        </w:rPr>
        <w:t>, төвөг чирэгдэл учруулдаг</w:t>
      </w:r>
      <w:r w:rsidR="00147761" w:rsidRPr="007A52CB">
        <w:rPr>
          <w:rFonts w:eastAsia="Times New Roman" w:cs="Times New Roman"/>
        </w:rPr>
        <w:t xml:space="preserve"> зардлуудыг онилж бодлого явуулах нь илүү үр дүнтэй гэж манай байгууллагын нэг судалгаанаас гарсан</w:t>
      </w:r>
      <w:r w:rsidRPr="007A52CB">
        <w:rPr>
          <w:rFonts w:eastAsia="Times New Roman" w:cs="Times New Roman"/>
        </w:rPr>
        <w:t>”</w:t>
      </w:r>
      <w:r w:rsidR="007912F8" w:rsidRPr="007A52CB">
        <w:rPr>
          <w:rFonts w:eastAsia="Times New Roman" w:cs="Times New Roman"/>
        </w:rPr>
        <w:t>.</w:t>
      </w:r>
    </w:p>
    <w:p w14:paraId="3FCC2E6D" w14:textId="10FAF902" w:rsidR="00280714" w:rsidRPr="007A52CB" w:rsidRDefault="00280714" w:rsidP="00D76C4E">
      <w:pPr>
        <w:rPr>
          <w:rFonts w:eastAsia="Times New Roman" w:cs="Times New Roman"/>
        </w:rPr>
      </w:pPr>
      <w:proofErr w:type="spellStart"/>
      <w:r w:rsidRPr="007A52CB">
        <w:rPr>
          <w:rFonts w:eastAsia="Times New Roman" w:cs="Times New Roman"/>
        </w:rPr>
        <w:t>Маяара</w:t>
      </w:r>
      <w:proofErr w:type="spellEnd"/>
      <w:r w:rsidRPr="007A52CB">
        <w:rPr>
          <w:rFonts w:eastAsia="Times New Roman" w:cs="Times New Roman"/>
        </w:rPr>
        <w:t xml:space="preserve"> </w:t>
      </w:r>
      <w:proofErr w:type="spellStart"/>
      <w:r w:rsidRPr="007A52CB">
        <w:rPr>
          <w:rFonts w:eastAsia="Times New Roman" w:cs="Times New Roman"/>
        </w:rPr>
        <w:t>трэйд</w:t>
      </w:r>
      <w:proofErr w:type="spellEnd"/>
      <w:r w:rsidRPr="007A52CB">
        <w:rPr>
          <w:rFonts w:eastAsia="Times New Roman" w:cs="Times New Roman"/>
        </w:rPr>
        <w:t xml:space="preserve"> компанийн захирал Азжаргал “10 их наядын хөтөлбөрийн үр өгөөжийг </w:t>
      </w:r>
      <w:proofErr w:type="spellStart"/>
      <w:r w:rsidRPr="007A52CB">
        <w:rPr>
          <w:rFonts w:eastAsia="Times New Roman" w:cs="Times New Roman"/>
        </w:rPr>
        <w:t>ЖДҮ</w:t>
      </w:r>
      <w:proofErr w:type="spellEnd"/>
      <w:r w:rsidRPr="007A52CB">
        <w:rPr>
          <w:rFonts w:eastAsia="Times New Roman" w:cs="Times New Roman"/>
        </w:rPr>
        <w:t xml:space="preserve"> эрхлэгчид бид олж харсангүй. </w:t>
      </w:r>
      <w:r w:rsidR="0016753D" w:rsidRPr="007A52CB">
        <w:rPr>
          <w:rFonts w:eastAsia="Times New Roman" w:cs="Times New Roman"/>
        </w:rPr>
        <w:t xml:space="preserve">Сүүлийн үед бараа, түүхий эд өссөн учраас зардал нэмэгдсэн, нөгөө талд борлуулалтынхаа үнийг нэмж чадахгүй байгаа, хүмүүсийн худалдан авах чадвар муудсан. Дэлхий даяар үнэ өсөж байхад манай улсад үүний эсрэг бодлого алга, үйлдвэрлэгч нар хамгийн их хохирч байна. Дээр нь түүхий эд татах гэхээр банкнууд доллар гаргахгүй </w:t>
      </w:r>
      <w:r w:rsidR="0016753D" w:rsidRPr="007A52CB">
        <w:rPr>
          <w:rFonts w:eastAsia="Times New Roman" w:cs="Times New Roman"/>
        </w:rPr>
        <w:lastRenderedPageBreak/>
        <w:t>байна. Сүлжээ дэлгүүрүүд үйлдвэрлэгчдээс их хэмжээний хувь нэхдэг, энэ нь Худалдааны хууль байхгүйтэй холбоотой. Ийм юмнуудаа арга хэмжээ авахгүй бол дараагийн том цунами хаяанд ирлээ. Үйлдвэрлэгчид түүхий эдийн хязгаарлалтад орлоо.”</w:t>
      </w:r>
    </w:p>
    <w:p w14:paraId="51D8BEA9" w14:textId="23AAD3C7" w:rsidR="00280714" w:rsidRPr="007A52CB" w:rsidRDefault="00280714" w:rsidP="00D76C4E">
      <w:pPr>
        <w:rPr>
          <w:rFonts w:eastAsia="Times New Roman" w:cs="Times New Roman"/>
        </w:rPr>
      </w:pPr>
      <w:proofErr w:type="spellStart"/>
      <w:r w:rsidRPr="007A52CB">
        <w:rPr>
          <w:rFonts w:eastAsia="Times New Roman" w:cs="Times New Roman"/>
        </w:rPr>
        <w:t>Агьшим</w:t>
      </w:r>
      <w:proofErr w:type="spellEnd"/>
      <w:r w:rsidRPr="007A52CB">
        <w:rPr>
          <w:rFonts w:eastAsia="Times New Roman" w:cs="Times New Roman"/>
        </w:rPr>
        <w:t xml:space="preserve"> компанийн захирал Давхарбаяр: “</w:t>
      </w:r>
      <w:proofErr w:type="spellStart"/>
      <w:r w:rsidR="0016753D" w:rsidRPr="007A52CB">
        <w:rPr>
          <w:rFonts w:eastAsia="Times New Roman" w:cs="Times New Roman"/>
        </w:rPr>
        <w:t>ЖДҮҮ</w:t>
      </w:r>
      <w:proofErr w:type="spellEnd"/>
      <w:r w:rsidR="0016753D" w:rsidRPr="007A52CB">
        <w:rPr>
          <w:rFonts w:eastAsia="Times New Roman" w:cs="Times New Roman"/>
        </w:rPr>
        <w:t xml:space="preserve"> эрхлэгчид зээл авахдаа түүхий эд материал, тоног төхөөрөмж, түрээсийн байрандаа л авдаг. Тоног төхөөрөмжөө ойр, хямдаар нь Хятадаас л авдаг. Гэтэл хил гаалийн хязгаарлалтаас болоод тоног төхөөрөмжөө авч чадахгүй болоод байна. Хязгаарлалтгүй байлаа ч бас яг таарах тоног төхөөрөмж олох хэцүү байдаг. Иймээс зарим үйлдвэрлэгч тоног төхөөрөмжөө өөрсдөө хийх асуудал тулгардаг. Шинжлэх ухаан, инновацын үйл ажиллагаагаар төрийн сектор үйлдвэрлэгчдийг дэмжиж болох юм. Яг мөнгө зээл өгөхөөс илүү дотоодын ийм боломжтой нөөцтэй газруудыг хооронд нь холбох, уялдуулан зохицуулах үйл ажиллагааг төр, танхим, мэргэжлийн холбоод хийж болох юм</w:t>
      </w:r>
      <w:r w:rsidR="00B935F8" w:rsidRPr="007A52CB">
        <w:rPr>
          <w:rFonts w:eastAsia="Times New Roman" w:cs="Times New Roman"/>
        </w:rPr>
        <w:t>. Бартер солилцооны мэдээллийн платформ байж болох юм</w:t>
      </w:r>
      <w:r w:rsidRPr="007A52CB">
        <w:rPr>
          <w:rFonts w:eastAsia="Times New Roman" w:cs="Times New Roman"/>
        </w:rPr>
        <w:t>”</w:t>
      </w:r>
    </w:p>
    <w:p w14:paraId="79D224DB" w14:textId="418210B3" w:rsidR="00147761" w:rsidRPr="007A52CB" w:rsidRDefault="00147761" w:rsidP="00D76C4E">
      <w:pPr>
        <w:rPr>
          <w:rFonts w:eastAsia="Times New Roman" w:cs="Times New Roman"/>
        </w:rPr>
      </w:pPr>
      <w:proofErr w:type="spellStart"/>
      <w:r w:rsidRPr="007A52CB">
        <w:rPr>
          <w:rFonts w:eastAsia="Times New Roman" w:cs="Times New Roman"/>
        </w:rPr>
        <w:t>Модератор</w:t>
      </w:r>
      <w:proofErr w:type="spellEnd"/>
      <w:r w:rsidRPr="007A52CB">
        <w:rPr>
          <w:rFonts w:eastAsia="Times New Roman" w:cs="Times New Roman"/>
        </w:rPr>
        <w:t xml:space="preserve"> Д.Жаргалсайхан: “Маш чухал дүгнэлтүүд байна. Энд төрийн оролцоо хэт ихсэж</w:t>
      </w:r>
      <w:r w:rsidR="00FF6AAB" w:rsidRPr="007A52CB">
        <w:rPr>
          <w:rFonts w:eastAsia="Times New Roman" w:cs="Times New Roman"/>
        </w:rPr>
        <w:t xml:space="preserve"> байгаа тухай суурь асуудлыг зайлшгүй дурдах ёстой. Маш олон агентлагийн нэрээр хувийн секторын хийж болох зүйлсийг төр хийдэг, гэхдээ хариуцлага бараг хүлээхгүй</w:t>
      </w:r>
      <w:r w:rsidRPr="007A52CB">
        <w:rPr>
          <w:rFonts w:eastAsia="Times New Roman" w:cs="Times New Roman"/>
        </w:rPr>
        <w:t>.</w:t>
      </w:r>
      <w:r w:rsidR="00FF6AAB" w:rsidRPr="007A52CB">
        <w:rPr>
          <w:rFonts w:eastAsia="Times New Roman" w:cs="Times New Roman"/>
        </w:rPr>
        <w:t xml:space="preserve"> </w:t>
      </w:r>
      <w:r w:rsidR="007912F8" w:rsidRPr="007A52CB">
        <w:rPr>
          <w:rFonts w:eastAsia="Times New Roman" w:cs="Times New Roman"/>
        </w:rPr>
        <w:t xml:space="preserve">Жишээ нь, Төрийн банк маш их өртэй, гэхдээ өндөр цалинтай олон захирал томилогддог. Улс төрийн нөлөөгөөр тэр албан тушаалууд дээр хүмүүс томилдог. Дээр нь халамж их байна. Хоёрдугаарт үнийг чөлөөлж, өрсөлдөөнийг нээмээр байна. Компаниуд зардлаараа өрсөлдөх ёстой. Төр үнийг хямдруулна гэж буруу бодлого хэрэгжүүлж байна. Дараагийн гол асуудал бол газар гэх нийтийн өмчийн хулгай их том бэрхшээл учруулж байна. </w:t>
      </w:r>
      <w:r w:rsidR="00D43310" w:rsidRPr="007A52CB">
        <w:rPr>
          <w:rFonts w:eastAsia="Times New Roman" w:cs="Times New Roman"/>
        </w:rPr>
        <w:t>Ер нь ийм суурь асуудлуудыг шийдэхгүйгээр компанид тулгарч буй ганц хоёр асуудлаар тус тусдаа яриад юу ч бүтэхгүй гэдэг нь харагдаж байна”.</w:t>
      </w:r>
    </w:p>
    <w:p w14:paraId="75EFFCF8" w14:textId="77777777" w:rsidR="00D76C4E" w:rsidRPr="007A52CB" w:rsidRDefault="00D76C4E">
      <w:pPr>
        <w:jc w:val="left"/>
        <w:rPr>
          <w:rFonts w:eastAsiaTheme="majorEastAsia" w:cstheme="majorBidi"/>
          <w:color w:val="2F5496" w:themeColor="accent1" w:themeShade="BF"/>
          <w:sz w:val="32"/>
          <w:szCs w:val="32"/>
        </w:rPr>
      </w:pPr>
      <w:r w:rsidRPr="007A52CB">
        <w:br w:type="page"/>
      </w:r>
    </w:p>
    <w:p w14:paraId="65794832" w14:textId="734A973C" w:rsidR="00D76C4E" w:rsidRPr="007A52CB" w:rsidRDefault="00D76C4E" w:rsidP="00D76C4E">
      <w:pPr>
        <w:pStyle w:val="Heading1"/>
      </w:pPr>
      <w:bookmarkStart w:id="3" w:name="_Toc107050570"/>
      <w:r w:rsidRPr="007A52CB">
        <w:lastRenderedPageBreak/>
        <w:t>Хавсралтууд</w:t>
      </w:r>
      <w:bookmarkEnd w:id="3"/>
    </w:p>
    <w:p w14:paraId="0F98C55F" w14:textId="77777777" w:rsidR="00E3652D" w:rsidRPr="007A52CB" w:rsidRDefault="00E3652D" w:rsidP="00E3652D"/>
    <w:p w14:paraId="7435EA73" w14:textId="77777777" w:rsidR="00D76C4E" w:rsidRPr="007A52CB" w:rsidRDefault="00D76C4E" w:rsidP="00D76C4E"/>
    <w:p w14:paraId="38BAD5C9" w14:textId="77777777" w:rsidR="00D76C4E" w:rsidRPr="007A52CB" w:rsidRDefault="00D76C4E" w:rsidP="00D76C4E"/>
    <w:p w14:paraId="2E2A740B" w14:textId="77777777" w:rsidR="00D76C4E" w:rsidRPr="007A52CB" w:rsidRDefault="00D76C4E" w:rsidP="00D76C4E"/>
    <w:sectPr w:rsidR="00D76C4E" w:rsidRPr="007A52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7E8"/>
    <w:multiLevelType w:val="hybridMultilevel"/>
    <w:tmpl w:val="15C81928"/>
    <w:lvl w:ilvl="0" w:tplc="2536D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E3FCF"/>
    <w:multiLevelType w:val="hybridMultilevel"/>
    <w:tmpl w:val="55AE4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009054">
    <w:abstractNumId w:val="1"/>
  </w:num>
  <w:num w:numId="2" w16cid:durableId="1740251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08C9"/>
    <w:rsid w:val="00000FC1"/>
    <w:rsid w:val="000012C3"/>
    <w:rsid w:val="00015C35"/>
    <w:rsid w:val="000223E5"/>
    <w:rsid w:val="00036942"/>
    <w:rsid w:val="00040693"/>
    <w:rsid w:val="00040CE7"/>
    <w:rsid w:val="000431F1"/>
    <w:rsid w:val="00051AD9"/>
    <w:rsid w:val="00055E6A"/>
    <w:rsid w:val="000629E5"/>
    <w:rsid w:val="00065D00"/>
    <w:rsid w:val="00072503"/>
    <w:rsid w:val="00073B2B"/>
    <w:rsid w:val="000820A2"/>
    <w:rsid w:val="00082309"/>
    <w:rsid w:val="00083D2E"/>
    <w:rsid w:val="00091CD2"/>
    <w:rsid w:val="000A062B"/>
    <w:rsid w:val="000A252B"/>
    <w:rsid w:val="000A2D72"/>
    <w:rsid w:val="000A5A4A"/>
    <w:rsid w:val="000A701C"/>
    <w:rsid w:val="000B067F"/>
    <w:rsid w:val="000B4E8A"/>
    <w:rsid w:val="000C1809"/>
    <w:rsid w:val="000C2069"/>
    <w:rsid w:val="000D2909"/>
    <w:rsid w:val="000E28E0"/>
    <w:rsid w:val="000F4D28"/>
    <w:rsid w:val="00101995"/>
    <w:rsid w:val="00102875"/>
    <w:rsid w:val="00106229"/>
    <w:rsid w:val="00114E7C"/>
    <w:rsid w:val="00117E07"/>
    <w:rsid w:val="00122ADD"/>
    <w:rsid w:val="00136BDD"/>
    <w:rsid w:val="00145163"/>
    <w:rsid w:val="00145CA8"/>
    <w:rsid w:val="00145D9E"/>
    <w:rsid w:val="001468B0"/>
    <w:rsid w:val="00147761"/>
    <w:rsid w:val="00153923"/>
    <w:rsid w:val="001655AA"/>
    <w:rsid w:val="00166A62"/>
    <w:rsid w:val="00166E45"/>
    <w:rsid w:val="0016753D"/>
    <w:rsid w:val="00174996"/>
    <w:rsid w:val="00177390"/>
    <w:rsid w:val="001863EB"/>
    <w:rsid w:val="00186DB3"/>
    <w:rsid w:val="001875FD"/>
    <w:rsid w:val="00194DD2"/>
    <w:rsid w:val="00195DE8"/>
    <w:rsid w:val="001A5046"/>
    <w:rsid w:val="001A74F2"/>
    <w:rsid w:val="001B03C0"/>
    <w:rsid w:val="001B37B0"/>
    <w:rsid w:val="001B3EE5"/>
    <w:rsid w:val="001B4EFC"/>
    <w:rsid w:val="001B7F5B"/>
    <w:rsid w:val="001C4628"/>
    <w:rsid w:val="001D31AF"/>
    <w:rsid w:val="001D53A7"/>
    <w:rsid w:val="001D5F61"/>
    <w:rsid w:val="001D72F0"/>
    <w:rsid w:val="001E157D"/>
    <w:rsid w:val="001E5CA4"/>
    <w:rsid w:val="001F2425"/>
    <w:rsid w:val="001F6F8D"/>
    <w:rsid w:val="001F7134"/>
    <w:rsid w:val="002013A5"/>
    <w:rsid w:val="0020461A"/>
    <w:rsid w:val="00204CA3"/>
    <w:rsid w:val="002101D6"/>
    <w:rsid w:val="0021777F"/>
    <w:rsid w:val="00233725"/>
    <w:rsid w:val="00256AD9"/>
    <w:rsid w:val="002643C5"/>
    <w:rsid w:val="00270284"/>
    <w:rsid w:val="0027388F"/>
    <w:rsid w:val="002747BF"/>
    <w:rsid w:val="00280714"/>
    <w:rsid w:val="002842BB"/>
    <w:rsid w:val="002910F1"/>
    <w:rsid w:val="00295853"/>
    <w:rsid w:val="002A0D13"/>
    <w:rsid w:val="002A3F77"/>
    <w:rsid w:val="002B617B"/>
    <w:rsid w:val="002C0072"/>
    <w:rsid w:val="002C0734"/>
    <w:rsid w:val="002C24E0"/>
    <w:rsid w:val="002D4855"/>
    <w:rsid w:val="002F05DF"/>
    <w:rsid w:val="00304D53"/>
    <w:rsid w:val="00307428"/>
    <w:rsid w:val="003125DE"/>
    <w:rsid w:val="00315121"/>
    <w:rsid w:val="003204C8"/>
    <w:rsid w:val="00323946"/>
    <w:rsid w:val="003242FC"/>
    <w:rsid w:val="00330216"/>
    <w:rsid w:val="00331FC7"/>
    <w:rsid w:val="00341B06"/>
    <w:rsid w:val="00341D02"/>
    <w:rsid w:val="0034225E"/>
    <w:rsid w:val="003524C1"/>
    <w:rsid w:val="00352D5D"/>
    <w:rsid w:val="0035358D"/>
    <w:rsid w:val="00355960"/>
    <w:rsid w:val="00357957"/>
    <w:rsid w:val="00362C9A"/>
    <w:rsid w:val="003670AA"/>
    <w:rsid w:val="003718B7"/>
    <w:rsid w:val="00380600"/>
    <w:rsid w:val="0038323F"/>
    <w:rsid w:val="00385705"/>
    <w:rsid w:val="00394141"/>
    <w:rsid w:val="00396AEA"/>
    <w:rsid w:val="003A0C96"/>
    <w:rsid w:val="003B00F4"/>
    <w:rsid w:val="003B04A8"/>
    <w:rsid w:val="003B16BC"/>
    <w:rsid w:val="003B3CE9"/>
    <w:rsid w:val="003D58CF"/>
    <w:rsid w:val="003D597C"/>
    <w:rsid w:val="003E691E"/>
    <w:rsid w:val="003F0233"/>
    <w:rsid w:val="003F3024"/>
    <w:rsid w:val="003F542D"/>
    <w:rsid w:val="003F78DE"/>
    <w:rsid w:val="00402FE5"/>
    <w:rsid w:val="00411ED0"/>
    <w:rsid w:val="00417A54"/>
    <w:rsid w:val="00423584"/>
    <w:rsid w:val="00427078"/>
    <w:rsid w:val="004342A3"/>
    <w:rsid w:val="004441BF"/>
    <w:rsid w:val="0047230A"/>
    <w:rsid w:val="00474139"/>
    <w:rsid w:val="004749BE"/>
    <w:rsid w:val="00477B45"/>
    <w:rsid w:val="00487687"/>
    <w:rsid w:val="00491857"/>
    <w:rsid w:val="00495CB3"/>
    <w:rsid w:val="004972F1"/>
    <w:rsid w:val="004A4E8B"/>
    <w:rsid w:val="004A602D"/>
    <w:rsid w:val="004B4319"/>
    <w:rsid w:val="004B5BDC"/>
    <w:rsid w:val="004B7654"/>
    <w:rsid w:val="004C023D"/>
    <w:rsid w:val="004C09EA"/>
    <w:rsid w:val="004C11C6"/>
    <w:rsid w:val="004C2795"/>
    <w:rsid w:val="004D42DB"/>
    <w:rsid w:val="004D5898"/>
    <w:rsid w:val="004F1326"/>
    <w:rsid w:val="004F5EEB"/>
    <w:rsid w:val="004F7DBA"/>
    <w:rsid w:val="004F7DFA"/>
    <w:rsid w:val="00512AC2"/>
    <w:rsid w:val="00513034"/>
    <w:rsid w:val="00522EE9"/>
    <w:rsid w:val="00526037"/>
    <w:rsid w:val="00530B8C"/>
    <w:rsid w:val="0053124B"/>
    <w:rsid w:val="0053158D"/>
    <w:rsid w:val="00533C14"/>
    <w:rsid w:val="00536241"/>
    <w:rsid w:val="00537651"/>
    <w:rsid w:val="0054269A"/>
    <w:rsid w:val="0054514A"/>
    <w:rsid w:val="00560A49"/>
    <w:rsid w:val="00571F9E"/>
    <w:rsid w:val="0057283B"/>
    <w:rsid w:val="00577347"/>
    <w:rsid w:val="00582AED"/>
    <w:rsid w:val="00584EAE"/>
    <w:rsid w:val="00591DB2"/>
    <w:rsid w:val="005A28DC"/>
    <w:rsid w:val="005A3547"/>
    <w:rsid w:val="005A5009"/>
    <w:rsid w:val="005B3AEC"/>
    <w:rsid w:val="005B70DE"/>
    <w:rsid w:val="005C28B0"/>
    <w:rsid w:val="005C2A18"/>
    <w:rsid w:val="005D4D1D"/>
    <w:rsid w:val="005E1699"/>
    <w:rsid w:val="005F1E0D"/>
    <w:rsid w:val="005F2C73"/>
    <w:rsid w:val="00601AD1"/>
    <w:rsid w:val="00603C27"/>
    <w:rsid w:val="00604730"/>
    <w:rsid w:val="00604AAC"/>
    <w:rsid w:val="006076C0"/>
    <w:rsid w:val="0061519A"/>
    <w:rsid w:val="0061522C"/>
    <w:rsid w:val="0061692F"/>
    <w:rsid w:val="00617085"/>
    <w:rsid w:val="00621C32"/>
    <w:rsid w:val="00621DE6"/>
    <w:rsid w:val="0062284F"/>
    <w:rsid w:val="006253CD"/>
    <w:rsid w:val="00631129"/>
    <w:rsid w:val="00634C3C"/>
    <w:rsid w:val="006423CE"/>
    <w:rsid w:val="0064490D"/>
    <w:rsid w:val="00645E39"/>
    <w:rsid w:val="00647FD6"/>
    <w:rsid w:val="00661957"/>
    <w:rsid w:val="006649D1"/>
    <w:rsid w:val="00670175"/>
    <w:rsid w:val="00672AB6"/>
    <w:rsid w:val="0067545D"/>
    <w:rsid w:val="00677C27"/>
    <w:rsid w:val="00682398"/>
    <w:rsid w:val="00683795"/>
    <w:rsid w:val="00684F7F"/>
    <w:rsid w:val="00691782"/>
    <w:rsid w:val="00695949"/>
    <w:rsid w:val="006A1BE0"/>
    <w:rsid w:val="006B1359"/>
    <w:rsid w:val="006B2889"/>
    <w:rsid w:val="006B725E"/>
    <w:rsid w:val="006C03C4"/>
    <w:rsid w:val="006C6CFF"/>
    <w:rsid w:val="006E53DD"/>
    <w:rsid w:val="006F1F9D"/>
    <w:rsid w:val="0070454B"/>
    <w:rsid w:val="007072E0"/>
    <w:rsid w:val="00714B75"/>
    <w:rsid w:val="0072413A"/>
    <w:rsid w:val="00734443"/>
    <w:rsid w:val="00742C9F"/>
    <w:rsid w:val="007462DA"/>
    <w:rsid w:val="007502F3"/>
    <w:rsid w:val="00753465"/>
    <w:rsid w:val="00754004"/>
    <w:rsid w:val="00756859"/>
    <w:rsid w:val="00761D0B"/>
    <w:rsid w:val="00766D80"/>
    <w:rsid w:val="00767C5C"/>
    <w:rsid w:val="0077254A"/>
    <w:rsid w:val="00774C0E"/>
    <w:rsid w:val="007912F8"/>
    <w:rsid w:val="00791766"/>
    <w:rsid w:val="00793A9F"/>
    <w:rsid w:val="007A0B5B"/>
    <w:rsid w:val="007A12DB"/>
    <w:rsid w:val="007A3E14"/>
    <w:rsid w:val="007A52CB"/>
    <w:rsid w:val="007A7CBF"/>
    <w:rsid w:val="007B2B45"/>
    <w:rsid w:val="007B512F"/>
    <w:rsid w:val="007B6FBA"/>
    <w:rsid w:val="007C7ABC"/>
    <w:rsid w:val="007E200A"/>
    <w:rsid w:val="007E483F"/>
    <w:rsid w:val="007E551A"/>
    <w:rsid w:val="007F3B88"/>
    <w:rsid w:val="007F4B35"/>
    <w:rsid w:val="007F6D47"/>
    <w:rsid w:val="0081129B"/>
    <w:rsid w:val="00814BBF"/>
    <w:rsid w:val="00815A2B"/>
    <w:rsid w:val="008166EA"/>
    <w:rsid w:val="00816E60"/>
    <w:rsid w:val="008204B6"/>
    <w:rsid w:val="00822C61"/>
    <w:rsid w:val="00823E17"/>
    <w:rsid w:val="00831BFA"/>
    <w:rsid w:val="00844B1D"/>
    <w:rsid w:val="00861976"/>
    <w:rsid w:val="00876CA1"/>
    <w:rsid w:val="008816BF"/>
    <w:rsid w:val="00882972"/>
    <w:rsid w:val="008933C3"/>
    <w:rsid w:val="008A1E6B"/>
    <w:rsid w:val="008A7DA9"/>
    <w:rsid w:val="008B107A"/>
    <w:rsid w:val="008B41CE"/>
    <w:rsid w:val="008B688E"/>
    <w:rsid w:val="008B7188"/>
    <w:rsid w:val="008C34D4"/>
    <w:rsid w:val="008D2E32"/>
    <w:rsid w:val="008D4D3C"/>
    <w:rsid w:val="008D5CE7"/>
    <w:rsid w:val="008F1CB4"/>
    <w:rsid w:val="008F2F20"/>
    <w:rsid w:val="008F3B54"/>
    <w:rsid w:val="008F5CD2"/>
    <w:rsid w:val="008F7B51"/>
    <w:rsid w:val="009104E9"/>
    <w:rsid w:val="009135C2"/>
    <w:rsid w:val="0091416F"/>
    <w:rsid w:val="00917493"/>
    <w:rsid w:val="00926A60"/>
    <w:rsid w:val="00931841"/>
    <w:rsid w:val="0093345A"/>
    <w:rsid w:val="009401C0"/>
    <w:rsid w:val="00940AD2"/>
    <w:rsid w:val="0094189F"/>
    <w:rsid w:val="00942802"/>
    <w:rsid w:val="0094313C"/>
    <w:rsid w:val="00946FBF"/>
    <w:rsid w:val="009506A4"/>
    <w:rsid w:val="00955671"/>
    <w:rsid w:val="00955CA5"/>
    <w:rsid w:val="00956BB8"/>
    <w:rsid w:val="00964895"/>
    <w:rsid w:val="00970DCC"/>
    <w:rsid w:val="00971A72"/>
    <w:rsid w:val="009751A6"/>
    <w:rsid w:val="009805A0"/>
    <w:rsid w:val="009851FD"/>
    <w:rsid w:val="00985AE7"/>
    <w:rsid w:val="009A6F66"/>
    <w:rsid w:val="009B719E"/>
    <w:rsid w:val="009C3286"/>
    <w:rsid w:val="009C3621"/>
    <w:rsid w:val="009C3871"/>
    <w:rsid w:val="009C5EB5"/>
    <w:rsid w:val="009D0CF7"/>
    <w:rsid w:val="009D69E9"/>
    <w:rsid w:val="009E7C0C"/>
    <w:rsid w:val="009F13B9"/>
    <w:rsid w:val="009F5BD3"/>
    <w:rsid w:val="00A006A1"/>
    <w:rsid w:val="00A0439A"/>
    <w:rsid w:val="00A15970"/>
    <w:rsid w:val="00A24E4B"/>
    <w:rsid w:val="00A25B14"/>
    <w:rsid w:val="00A33AB5"/>
    <w:rsid w:val="00A35FF2"/>
    <w:rsid w:val="00A36C9F"/>
    <w:rsid w:val="00A435EB"/>
    <w:rsid w:val="00A50826"/>
    <w:rsid w:val="00A50C9E"/>
    <w:rsid w:val="00A52BE1"/>
    <w:rsid w:val="00A54544"/>
    <w:rsid w:val="00A57995"/>
    <w:rsid w:val="00A60C8C"/>
    <w:rsid w:val="00A6133D"/>
    <w:rsid w:val="00A65078"/>
    <w:rsid w:val="00A7013D"/>
    <w:rsid w:val="00A76B38"/>
    <w:rsid w:val="00A93F78"/>
    <w:rsid w:val="00A95B80"/>
    <w:rsid w:val="00A96524"/>
    <w:rsid w:val="00AA280F"/>
    <w:rsid w:val="00AA76DE"/>
    <w:rsid w:val="00AB0B36"/>
    <w:rsid w:val="00AB7535"/>
    <w:rsid w:val="00AC073B"/>
    <w:rsid w:val="00AC090E"/>
    <w:rsid w:val="00AC6DAA"/>
    <w:rsid w:val="00AD1372"/>
    <w:rsid w:val="00AE192C"/>
    <w:rsid w:val="00AF1467"/>
    <w:rsid w:val="00AF55BA"/>
    <w:rsid w:val="00B074C4"/>
    <w:rsid w:val="00B1077F"/>
    <w:rsid w:val="00B114FC"/>
    <w:rsid w:val="00B30D63"/>
    <w:rsid w:val="00B3590E"/>
    <w:rsid w:val="00B40CD6"/>
    <w:rsid w:val="00B40E0E"/>
    <w:rsid w:val="00B43D8C"/>
    <w:rsid w:val="00B4645F"/>
    <w:rsid w:val="00B5765E"/>
    <w:rsid w:val="00B60590"/>
    <w:rsid w:val="00B61C28"/>
    <w:rsid w:val="00B65F7C"/>
    <w:rsid w:val="00B700F6"/>
    <w:rsid w:val="00B73EBE"/>
    <w:rsid w:val="00B74352"/>
    <w:rsid w:val="00B83C27"/>
    <w:rsid w:val="00B92B48"/>
    <w:rsid w:val="00B932E3"/>
    <w:rsid w:val="00B935F8"/>
    <w:rsid w:val="00B93CE2"/>
    <w:rsid w:val="00BA0950"/>
    <w:rsid w:val="00BA3626"/>
    <w:rsid w:val="00BA4F72"/>
    <w:rsid w:val="00BA5B57"/>
    <w:rsid w:val="00BB2B61"/>
    <w:rsid w:val="00BC7963"/>
    <w:rsid w:val="00BD07ED"/>
    <w:rsid w:val="00BD0DF5"/>
    <w:rsid w:val="00BD33B2"/>
    <w:rsid w:val="00BD4C11"/>
    <w:rsid w:val="00BD6B6B"/>
    <w:rsid w:val="00BE2932"/>
    <w:rsid w:val="00BE6398"/>
    <w:rsid w:val="00BE77CD"/>
    <w:rsid w:val="00BF0D67"/>
    <w:rsid w:val="00BF4D58"/>
    <w:rsid w:val="00C01FE0"/>
    <w:rsid w:val="00C07009"/>
    <w:rsid w:val="00C15491"/>
    <w:rsid w:val="00C17BA7"/>
    <w:rsid w:val="00C20FF1"/>
    <w:rsid w:val="00C21B3C"/>
    <w:rsid w:val="00C26EA7"/>
    <w:rsid w:val="00C3573D"/>
    <w:rsid w:val="00C60F02"/>
    <w:rsid w:val="00C61D69"/>
    <w:rsid w:val="00C62E3C"/>
    <w:rsid w:val="00C63A79"/>
    <w:rsid w:val="00C64B78"/>
    <w:rsid w:val="00C70BA1"/>
    <w:rsid w:val="00C712A6"/>
    <w:rsid w:val="00C76C3A"/>
    <w:rsid w:val="00C81FF1"/>
    <w:rsid w:val="00C83CAC"/>
    <w:rsid w:val="00C84A97"/>
    <w:rsid w:val="00C90899"/>
    <w:rsid w:val="00C9289D"/>
    <w:rsid w:val="00C95017"/>
    <w:rsid w:val="00C95DCB"/>
    <w:rsid w:val="00C96316"/>
    <w:rsid w:val="00CA00DB"/>
    <w:rsid w:val="00CA04BC"/>
    <w:rsid w:val="00CA10AE"/>
    <w:rsid w:val="00CB0362"/>
    <w:rsid w:val="00CB2F84"/>
    <w:rsid w:val="00CB4DA5"/>
    <w:rsid w:val="00CB6A66"/>
    <w:rsid w:val="00CC11D6"/>
    <w:rsid w:val="00CC1FE4"/>
    <w:rsid w:val="00CC32D2"/>
    <w:rsid w:val="00CC452D"/>
    <w:rsid w:val="00CC55FF"/>
    <w:rsid w:val="00CD1DC6"/>
    <w:rsid w:val="00CD2A5A"/>
    <w:rsid w:val="00CD3A8C"/>
    <w:rsid w:val="00CD3EDB"/>
    <w:rsid w:val="00CD7213"/>
    <w:rsid w:val="00CE0570"/>
    <w:rsid w:val="00CE12BE"/>
    <w:rsid w:val="00CE3EED"/>
    <w:rsid w:val="00CE42B3"/>
    <w:rsid w:val="00CE531A"/>
    <w:rsid w:val="00CF01C8"/>
    <w:rsid w:val="00CF7BFD"/>
    <w:rsid w:val="00D01BE0"/>
    <w:rsid w:val="00D01F48"/>
    <w:rsid w:val="00D120EF"/>
    <w:rsid w:val="00D13700"/>
    <w:rsid w:val="00D16361"/>
    <w:rsid w:val="00D22C28"/>
    <w:rsid w:val="00D27AEE"/>
    <w:rsid w:val="00D308C9"/>
    <w:rsid w:val="00D35D6C"/>
    <w:rsid w:val="00D35EA4"/>
    <w:rsid w:val="00D3610E"/>
    <w:rsid w:val="00D365E7"/>
    <w:rsid w:val="00D43310"/>
    <w:rsid w:val="00D6045C"/>
    <w:rsid w:val="00D65644"/>
    <w:rsid w:val="00D65850"/>
    <w:rsid w:val="00D727B3"/>
    <w:rsid w:val="00D765AA"/>
    <w:rsid w:val="00D76C4E"/>
    <w:rsid w:val="00D8371D"/>
    <w:rsid w:val="00D92DDC"/>
    <w:rsid w:val="00D94383"/>
    <w:rsid w:val="00DA36C4"/>
    <w:rsid w:val="00DA5E45"/>
    <w:rsid w:val="00DC159D"/>
    <w:rsid w:val="00DC20A7"/>
    <w:rsid w:val="00DC4B2F"/>
    <w:rsid w:val="00DD1528"/>
    <w:rsid w:val="00DD47E9"/>
    <w:rsid w:val="00DD6E0B"/>
    <w:rsid w:val="00DF22CB"/>
    <w:rsid w:val="00DF269F"/>
    <w:rsid w:val="00DF4422"/>
    <w:rsid w:val="00DF6453"/>
    <w:rsid w:val="00DF7B36"/>
    <w:rsid w:val="00E007FE"/>
    <w:rsid w:val="00E01CBC"/>
    <w:rsid w:val="00E0540C"/>
    <w:rsid w:val="00E0727D"/>
    <w:rsid w:val="00E145DC"/>
    <w:rsid w:val="00E16B0E"/>
    <w:rsid w:val="00E21C22"/>
    <w:rsid w:val="00E22A6E"/>
    <w:rsid w:val="00E22E0C"/>
    <w:rsid w:val="00E24CA9"/>
    <w:rsid w:val="00E26C64"/>
    <w:rsid w:val="00E2711A"/>
    <w:rsid w:val="00E27C41"/>
    <w:rsid w:val="00E338BB"/>
    <w:rsid w:val="00E34966"/>
    <w:rsid w:val="00E3652D"/>
    <w:rsid w:val="00E429FE"/>
    <w:rsid w:val="00E46BB3"/>
    <w:rsid w:val="00E502FC"/>
    <w:rsid w:val="00E520A3"/>
    <w:rsid w:val="00E54512"/>
    <w:rsid w:val="00E5503E"/>
    <w:rsid w:val="00E61A13"/>
    <w:rsid w:val="00E64459"/>
    <w:rsid w:val="00E73F56"/>
    <w:rsid w:val="00E7615B"/>
    <w:rsid w:val="00E76DAA"/>
    <w:rsid w:val="00E9040A"/>
    <w:rsid w:val="00E91C15"/>
    <w:rsid w:val="00EA0A82"/>
    <w:rsid w:val="00EA28A7"/>
    <w:rsid w:val="00EA28DF"/>
    <w:rsid w:val="00EA3E3F"/>
    <w:rsid w:val="00EA49B5"/>
    <w:rsid w:val="00EA6F28"/>
    <w:rsid w:val="00EA769E"/>
    <w:rsid w:val="00EB0A1C"/>
    <w:rsid w:val="00EB5305"/>
    <w:rsid w:val="00EC36C1"/>
    <w:rsid w:val="00EC3966"/>
    <w:rsid w:val="00EC5DF6"/>
    <w:rsid w:val="00ED7143"/>
    <w:rsid w:val="00ED7D12"/>
    <w:rsid w:val="00EE0540"/>
    <w:rsid w:val="00EE2B11"/>
    <w:rsid w:val="00EE34AB"/>
    <w:rsid w:val="00EE5EAA"/>
    <w:rsid w:val="00EF3E8A"/>
    <w:rsid w:val="00EF7883"/>
    <w:rsid w:val="00EF7CC4"/>
    <w:rsid w:val="00F06FA7"/>
    <w:rsid w:val="00F10DCC"/>
    <w:rsid w:val="00F11BF8"/>
    <w:rsid w:val="00F13A1C"/>
    <w:rsid w:val="00F16599"/>
    <w:rsid w:val="00F24802"/>
    <w:rsid w:val="00F32010"/>
    <w:rsid w:val="00F34667"/>
    <w:rsid w:val="00F36ABF"/>
    <w:rsid w:val="00F377D5"/>
    <w:rsid w:val="00F43FAC"/>
    <w:rsid w:val="00F46155"/>
    <w:rsid w:val="00F51C1B"/>
    <w:rsid w:val="00F51CA3"/>
    <w:rsid w:val="00F51DDD"/>
    <w:rsid w:val="00F66893"/>
    <w:rsid w:val="00F67702"/>
    <w:rsid w:val="00F70742"/>
    <w:rsid w:val="00F75795"/>
    <w:rsid w:val="00F76250"/>
    <w:rsid w:val="00F82637"/>
    <w:rsid w:val="00F91859"/>
    <w:rsid w:val="00F95106"/>
    <w:rsid w:val="00F96945"/>
    <w:rsid w:val="00FA2FCF"/>
    <w:rsid w:val="00FB750A"/>
    <w:rsid w:val="00FC1286"/>
    <w:rsid w:val="00FC5959"/>
    <w:rsid w:val="00FD02EA"/>
    <w:rsid w:val="00FD4A66"/>
    <w:rsid w:val="00FE0B32"/>
    <w:rsid w:val="00FF12E2"/>
    <w:rsid w:val="00FF3D03"/>
    <w:rsid w:val="00FF6AAB"/>
    <w:rsid w:val="00FF7AEF"/>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BE4CD"/>
  <w15:chartTrackingRefBased/>
  <w15:docId w15:val="{7DEF0498-0159-4FBB-A1DA-A021345D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D3C"/>
    <w:pPr>
      <w:jc w:val="both"/>
    </w:pPr>
    <w:rPr>
      <w:rFonts w:ascii="Times New Roman" w:hAnsi="Times New Roman"/>
    </w:rPr>
  </w:style>
  <w:style w:type="paragraph" w:styleId="Heading1">
    <w:name w:val="heading 1"/>
    <w:basedOn w:val="Normal"/>
    <w:next w:val="Normal"/>
    <w:link w:val="Heading1Char"/>
    <w:uiPriority w:val="9"/>
    <w:qFormat/>
    <w:rsid w:val="00D76C4E"/>
    <w:pPr>
      <w:keepNext/>
      <w:keepLines/>
      <w:spacing w:before="240" w:after="240"/>
      <w:outlineLvl w:val="0"/>
    </w:pPr>
    <w:rPr>
      <w:rFonts w:eastAsiaTheme="majorEastAsia"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C4E"/>
    <w:rPr>
      <w:rFonts w:ascii="Times New Roman" w:eastAsiaTheme="majorEastAsia" w:hAnsi="Times New Roman" w:cstheme="majorBidi"/>
      <w:color w:val="2F5496" w:themeColor="accent1" w:themeShade="BF"/>
      <w:sz w:val="32"/>
      <w:szCs w:val="32"/>
    </w:rPr>
  </w:style>
  <w:style w:type="paragraph" w:styleId="TOCHeading">
    <w:name w:val="TOC Heading"/>
    <w:basedOn w:val="Heading1"/>
    <w:next w:val="Normal"/>
    <w:uiPriority w:val="39"/>
    <w:unhideWhenUsed/>
    <w:qFormat/>
    <w:rsid w:val="003204C8"/>
    <w:pPr>
      <w:outlineLvl w:val="9"/>
    </w:pPr>
    <w:rPr>
      <w:color w:val="auto"/>
      <w:lang w:val="en-US"/>
    </w:rPr>
  </w:style>
  <w:style w:type="paragraph" w:styleId="Title">
    <w:name w:val="Title"/>
    <w:basedOn w:val="Normal"/>
    <w:next w:val="Normal"/>
    <w:link w:val="TitleChar"/>
    <w:uiPriority w:val="10"/>
    <w:qFormat/>
    <w:rsid w:val="009F5BD3"/>
    <w:pPr>
      <w:keepNext/>
      <w:keepLines/>
      <w:spacing w:after="60" w:line="276" w:lineRule="auto"/>
    </w:pPr>
    <w:rPr>
      <w:rFonts w:eastAsia="Arial" w:cs="Arial"/>
      <w:sz w:val="52"/>
      <w:szCs w:val="52"/>
      <w:lang w:val="en"/>
    </w:rPr>
  </w:style>
  <w:style w:type="character" w:customStyle="1" w:styleId="TitleChar">
    <w:name w:val="Title Char"/>
    <w:basedOn w:val="DefaultParagraphFont"/>
    <w:link w:val="Title"/>
    <w:uiPriority w:val="10"/>
    <w:rsid w:val="009F5BD3"/>
    <w:rPr>
      <w:rFonts w:ascii="Times New Roman" w:eastAsia="Arial" w:hAnsi="Times New Roman" w:cs="Arial"/>
      <w:sz w:val="52"/>
      <w:szCs w:val="52"/>
      <w:lang w:val="en"/>
    </w:rPr>
  </w:style>
  <w:style w:type="table" w:styleId="TableGrid">
    <w:name w:val="Table Grid"/>
    <w:basedOn w:val="TableNormal"/>
    <w:uiPriority w:val="59"/>
    <w:rsid w:val="009F5BD3"/>
    <w:pPr>
      <w:spacing w:after="0" w:line="240" w:lineRule="auto"/>
      <w:ind w:firstLine="562"/>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F5BD3"/>
    <w:pPr>
      <w:spacing w:after="0" w:line="240" w:lineRule="auto"/>
    </w:pPr>
    <w:rPr>
      <w:rFonts w:ascii="Times New Roman" w:eastAsia="Calibri" w:hAnsi="Times New Roman" w:cs="Calibri"/>
      <w:sz w:val="20"/>
    </w:rPr>
  </w:style>
  <w:style w:type="paragraph" w:styleId="ListParagraph">
    <w:name w:val="List Paragraph"/>
    <w:basedOn w:val="Normal"/>
    <w:uiPriority w:val="34"/>
    <w:qFormat/>
    <w:rsid w:val="00D76C4E"/>
    <w:pPr>
      <w:ind w:left="720"/>
      <w:contextualSpacing/>
    </w:pPr>
  </w:style>
  <w:style w:type="paragraph" w:styleId="TOC1">
    <w:name w:val="toc 1"/>
    <w:basedOn w:val="Normal"/>
    <w:next w:val="Normal"/>
    <w:autoRedefine/>
    <w:uiPriority w:val="39"/>
    <w:unhideWhenUsed/>
    <w:rsid w:val="00E3652D"/>
    <w:pPr>
      <w:spacing w:after="100"/>
    </w:pPr>
  </w:style>
  <w:style w:type="character" w:styleId="Hyperlink">
    <w:name w:val="Hyperlink"/>
    <w:basedOn w:val="DefaultParagraphFont"/>
    <w:uiPriority w:val="99"/>
    <w:unhideWhenUsed/>
    <w:rsid w:val="00E3652D"/>
    <w:rPr>
      <w:color w:val="0563C1" w:themeColor="hyperlink"/>
      <w:u w:val="single"/>
    </w:rPr>
  </w:style>
  <w:style w:type="paragraph" w:styleId="Caption">
    <w:name w:val="caption"/>
    <w:basedOn w:val="Normal"/>
    <w:next w:val="Normal"/>
    <w:uiPriority w:val="35"/>
    <w:unhideWhenUsed/>
    <w:qFormat/>
    <w:rsid w:val="00166E45"/>
    <w:pPr>
      <w:spacing w:after="200" w:line="240" w:lineRule="auto"/>
      <w:jc w:val="left"/>
    </w:pPr>
    <w:rPr>
      <w:rFonts w:asciiTheme="minorHAnsi" w:hAnsiTheme="minorHAns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shortcut-targets-by-id\1fSDbKI0FJ9ubinziOUQZSoFQEQ0KjtH-\&#1061;&#1257;&#1075;&#1078;&#1083;&#1080;&#1081;&#1085;%20&#1096;&#1080;&#1081;&#1076;&#1101;&#1083;%20-%20&#1060;&#1086;&#1088;&#1091;&#1084;\10%20&#1080;&#1093;%20&#1085;&#1072;&#1103;&#1076;&#1099;&#1085;%20&#1093;&#1257;&#1090;&#1257;&#1083;&#1073;&#1257;&#1088;\&#1058;&#1072;&#1083;&#1091;&#1091;&#1076;&#1090;&#1072;&#1081;%20&#1093;&#1080;&#1081;&#1093;%20&#1103;&#1088;&#1080;&#1083;&#1094;&#1083;&#1072;&#1075;&#1072;\&#1048;&#1056;&#1062;%20&#1057;&#1058;&#1040;&#105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c:f>
              <c:strCache>
                <c:ptCount val="1"/>
                <c:pt idx="0">
                  <c:v>Ирсэн хүний тоо</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05A-444D-BAB1-09AACA2BDC84}"/>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05A-444D-BAB1-09AACA2BDC84}"/>
              </c:ext>
            </c:extLst>
          </c:dPt>
          <c:dPt>
            <c:idx val="2"/>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05A-444D-BAB1-09AACA2BDC84}"/>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05A-444D-BAB1-09AACA2BDC84}"/>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Sheet1!$B$2:$B$5</c:f>
              <c:strCache>
                <c:ptCount val="4"/>
                <c:pt idx="0">
                  <c:v>Төрийн байгууллагууд </c:v>
                </c:pt>
                <c:pt idx="1">
                  <c:v>Санхүүгийн байгууллагууд</c:v>
                </c:pt>
                <c:pt idx="2">
                  <c:v>Төрийн бус байгууллагууд</c:v>
                </c:pt>
                <c:pt idx="3">
                  <c:v>Хувиараа бизнес эрхлэгчид</c:v>
                </c:pt>
              </c:strCache>
            </c:strRef>
          </c:cat>
          <c:val>
            <c:numRef>
              <c:f>Sheet1!$C$2:$C$5</c:f>
              <c:numCache>
                <c:formatCode>General</c:formatCode>
                <c:ptCount val="4"/>
                <c:pt idx="0">
                  <c:v>18</c:v>
                </c:pt>
                <c:pt idx="1">
                  <c:v>3</c:v>
                </c:pt>
                <c:pt idx="2">
                  <c:v>8</c:v>
                </c:pt>
                <c:pt idx="3">
                  <c:v>13</c:v>
                </c:pt>
              </c:numCache>
            </c:numRef>
          </c:val>
          <c:extLst>
            <c:ext xmlns:c16="http://schemas.microsoft.com/office/drawing/2014/chart" uri="{C3380CC4-5D6E-409C-BE32-E72D297353CC}">
              <c16:uniqueId val="{00000008-705A-444D-BAB1-09AACA2BDC8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11DB-0056-43B4-88C1-7FA2F5A7B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3582</TotalTime>
  <Pages>9</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manlai</dc:creator>
  <cp:keywords/>
  <dc:description/>
  <cp:lastModifiedBy>z manlai</cp:lastModifiedBy>
  <cp:revision>16</cp:revision>
  <dcterms:created xsi:type="dcterms:W3CDTF">2022-06-22T02:31:00Z</dcterms:created>
  <dcterms:modified xsi:type="dcterms:W3CDTF">2022-06-25T04:28:00Z</dcterms:modified>
</cp:coreProperties>
</file>